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As confidentially submitted with the Securities and Exchange Commission on April 28, 2023.</w:t>
      </w:r>
    </w:p>
    <w:p>
      <w:pPr>
        <w:ind w:left="9040"/>
        <w:spacing w:after="0"/>
        <w:rPr>
          <w:sz w:val="20"/>
          <w:szCs w:val="20"/>
          <w:color w:val="auto"/>
        </w:rPr>
      </w:pPr>
      <w:r>
        <w:rPr>
          <w:rFonts w:ascii="Arial" w:cs="Arial" w:eastAsia="Arial" w:hAnsi="Arial"/>
          <w:sz w:val="13"/>
          <w:szCs w:val="13"/>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F-1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Arm Holdings Limited</w:t>
      </w:r>
      <w:r>
        <w:rPr>
          <w:rFonts w:ascii="Arial" w:cs="Arial" w:eastAsia="Arial" w:hAnsi="Arial"/>
          <w:sz w:val="53"/>
          <w:szCs w:val="53"/>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31750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3" w:lineRule="exact"/>
        <w:rPr>
          <w:sz w:val="24"/>
          <w:szCs w:val="24"/>
          <w:color w:val="auto"/>
        </w:rPr>
      </w:pPr>
    </w:p>
    <w:tbl>
      <w:tblPr>
        <w:tblLayout w:type="fixed"/>
        <w:tblInd w:w="1220" w:type="dxa"/>
        <w:tblCellMar>
          <w:top w:w="0" w:type="dxa"/>
          <w:left w:w="0" w:type="dxa"/>
          <w:bottom w:w="0" w:type="dxa"/>
          <w:right w:w="0" w:type="dxa"/>
        </w:tblCellMar>
      </w:tblPr>
      <w:tr>
        <w:trPr>
          <w:trHeight w:val="149"/>
        </w:trPr>
        <w:tc>
          <w:tcPr>
            <w:tcW w:w="1640" w:type="dxa"/>
            <w:vAlign w:val="bottom"/>
          </w:tcPr>
          <w:p>
            <w:pPr>
              <w:jc w:val="center"/>
              <w:ind w:right="59"/>
              <w:spacing w:after="0"/>
              <w:rPr>
                <w:sz w:val="20"/>
                <w:szCs w:val="20"/>
                <w:color w:val="auto"/>
              </w:rPr>
            </w:pPr>
            <w:r>
              <w:rPr>
                <w:rFonts w:ascii="Arial" w:cs="Arial" w:eastAsia="Arial" w:hAnsi="Arial"/>
                <w:sz w:val="13"/>
                <w:szCs w:val="13"/>
                <w:b w:val="1"/>
                <w:bCs w:val="1"/>
                <w:color w:val="auto"/>
                <w:w w:val="87"/>
              </w:rPr>
              <w:t>England and Wales</w:t>
            </w:r>
          </w:p>
        </w:tc>
        <w:tc>
          <w:tcPr>
            <w:tcW w:w="3920" w:type="dxa"/>
            <w:vAlign w:val="bottom"/>
            <w:gridSpan w:val="2"/>
          </w:tcPr>
          <w:p>
            <w:pPr>
              <w:jc w:val="right"/>
              <w:ind w:right="858"/>
              <w:spacing w:after="0"/>
              <w:rPr>
                <w:sz w:val="20"/>
                <w:szCs w:val="20"/>
                <w:color w:val="auto"/>
              </w:rPr>
            </w:pPr>
            <w:r>
              <w:rPr>
                <w:rFonts w:ascii="Arial" w:cs="Arial" w:eastAsia="Arial" w:hAnsi="Arial"/>
                <w:sz w:val="13"/>
                <w:szCs w:val="13"/>
                <w:b w:val="1"/>
                <w:bCs w:val="1"/>
                <w:color w:val="auto"/>
              </w:rPr>
              <w:t>3674</w:t>
            </w:r>
          </w:p>
        </w:tc>
        <w:tc>
          <w:tcPr>
            <w:tcW w:w="1660" w:type="dxa"/>
            <w:vAlign w:val="bottom"/>
          </w:tcPr>
          <w:p>
            <w:pPr>
              <w:spacing w:after="0"/>
              <w:rPr>
                <w:sz w:val="13"/>
                <w:szCs w:val="13"/>
                <w:color w:val="auto"/>
              </w:rPr>
            </w:pPr>
          </w:p>
        </w:tc>
        <w:tc>
          <w:tcPr>
            <w:tcW w:w="1700" w:type="dxa"/>
            <w:vAlign w:val="bottom"/>
          </w:tcPr>
          <w:p>
            <w:pPr>
              <w:jc w:val="center"/>
              <w:ind w:left="99"/>
              <w:spacing w:after="0"/>
              <w:rPr>
                <w:sz w:val="20"/>
                <w:szCs w:val="20"/>
                <w:color w:val="auto"/>
              </w:rPr>
            </w:pPr>
            <w:r>
              <w:rPr>
                <w:rFonts w:ascii="Arial" w:cs="Arial" w:eastAsia="Arial" w:hAnsi="Arial"/>
                <w:sz w:val="13"/>
                <w:szCs w:val="13"/>
                <w:b w:val="1"/>
                <w:bCs w:val="1"/>
                <w:color w:val="auto"/>
                <w:w w:val="87"/>
              </w:rPr>
              <w:t>Not applicable</w:t>
            </w:r>
          </w:p>
        </w:tc>
      </w:tr>
      <w:tr>
        <w:trPr>
          <w:trHeight w:val="122"/>
        </w:trPr>
        <w:tc>
          <w:tcPr>
            <w:tcW w:w="164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88"/>
              </w:rPr>
              <w:t>(State or other jurisdiction of</w:t>
            </w:r>
          </w:p>
        </w:tc>
        <w:tc>
          <w:tcPr>
            <w:tcW w:w="1600" w:type="dxa"/>
            <w:vAlign w:val="bottom"/>
          </w:tcPr>
          <w:p>
            <w:pPr>
              <w:spacing w:after="0"/>
              <w:rPr>
                <w:sz w:val="10"/>
                <w:szCs w:val="10"/>
                <w:color w:val="auto"/>
              </w:rPr>
            </w:pPr>
          </w:p>
        </w:tc>
        <w:tc>
          <w:tcPr>
            <w:tcW w:w="3980" w:type="dxa"/>
            <w:vAlign w:val="bottom"/>
            <w:gridSpan w:val="2"/>
          </w:tcPr>
          <w:p>
            <w:pPr>
              <w:jc w:val="center"/>
              <w:ind w:right="1420"/>
              <w:spacing w:after="0" w:line="122" w:lineRule="exact"/>
              <w:rPr>
                <w:sz w:val="20"/>
                <w:szCs w:val="20"/>
                <w:color w:val="auto"/>
              </w:rPr>
            </w:pPr>
            <w:r>
              <w:rPr>
                <w:rFonts w:ascii="Arial" w:cs="Arial" w:eastAsia="Arial" w:hAnsi="Arial"/>
                <w:sz w:val="11"/>
                <w:szCs w:val="11"/>
                <w:b w:val="1"/>
                <w:bCs w:val="1"/>
                <w:color w:val="auto"/>
                <w:w w:val="91"/>
              </w:rPr>
              <w:t>(Primary Standard Industrial</w:t>
            </w:r>
          </w:p>
        </w:tc>
        <w:tc>
          <w:tcPr>
            <w:tcW w:w="1700" w:type="dxa"/>
            <w:vAlign w:val="bottom"/>
          </w:tcPr>
          <w:p>
            <w:pPr>
              <w:jc w:val="center"/>
              <w:ind w:left="99"/>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1640" w:type="dxa"/>
            <w:vAlign w:val="bottom"/>
          </w:tcPr>
          <w:p>
            <w:pPr>
              <w:jc w:val="center"/>
              <w:ind w:right="39"/>
              <w:spacing w:after="0"/>
              <w:rPr>
                <w:sz w:val="20"/>
                <w:szCs w:val="20"/>
                <w:color w:val="auto"/>
              </w:rPr>
            </w:pPr>
            <w:r>
              <w:rPr>
                <w:rFonts w:ascii="Arial" w:cs="Arial" w:eastAsia="Arial" w:hAnsi="Arial"/>
                <w:sz w:val="11"/>
                <w:szCs w:val="11"/>
                <w:b w:val="1"/>
                <w:bCs w:val="1"/>
                <w:color w:val="auto"/>
                <w:w w:val="90"/>
              </w:rPr>
              <w:t>incorporation or organization)</w:t>
            </w:r>
          </w:p>
        </w:tc>
        <w:tc>
          <w:tcPr>
            <w:tcW w:w="1600" w:type="dxa"/>
            <w:vAlign w:val="bottom"/>
          </w:tcPr>
          <w:p>
            <w:pPr>
              <w:spacing w:after="0"/>
              <w:rPr>
                <w:sz w:val="12"/>
                <w:szCs w:val="12"/>
                <w:color w:val="auto"/>
              </w:rPr>
            </w:pPr>
          </w:p>
        </w:tc>
        <w:tc>
          <w:tcPr>
            <w:tcW w:w="398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89"/>
              </w:rPr>
              <w:t>Classification Code Number)</w:t>
            </w:r>
          </w:p>
        </w:tc>
        <w:tc>
          <w:tcPr>
            <w:tcW w:w="1700" w:type="dxa"/>
            <w:vAlign w:val="bottom"/>
          </w:tcPr>
          <w:p>
            <w:pPr>
              <w:jc w:val="center"/>
              <w:ind w:left="99"/>
              <w:spacing w:after="0"/>
              <w:rPr>
                <w:sz w:val="20"/>
                <w:szCs w:val="20"/>
                <w:color w:val="auto"/>
              </w:rPr>
            </w:pPr>
            <w:r>
              <w:rPr>
                <w:rFonts w:ascii="Arial" w:cs="Arial" w:eastAsia="Arial" w:hAnsi="Arial"/>
                <w:sz w:val="11"/>
                <w:szCs w:val="11"/>
                <w:b w:val="1"/>
                <w:bCs w:val="1"/>
                <w:color w:val="auto"/>
                <w:w w:val="90"/>
              </w:rPr>
              <w:t>Identification Number)</w:t>
            </w:r>
          </w:p>
        </w:tc>
      </w:tr>
      <w:tr>
        <w:trPr>
          <w:trHeight w:val="193"/>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80" w:type="dxa"/>
            <w:vAlign w:val="bottom"/>
            <w:gridSpan w:val="2"/>
          </w:tcPr>
          <w:p>
            <w:pPr>
              <w:jc w:val="center"/>
              <w:ind w:right="1660"/>
              <w:spacing w:after="0"/>
              <w:rPr>
                <w:sz w:val="20"/>
                <w:szCs w:val="20"/>
                <w:color w:val="auto"/>
              </w:rPr>
            </w:pPr>
            <w:r>
              <w:rPr>
                <w:rFonts w:ascii="Arial" w:cs="Arial" w:eastAsia="Arial" w:hAnsi="Arial"/>
                <w:sz w:val="13"/>
                <w:szCs w:val="13"/>
                <w:b w:val="1"/>
                <w:bCs w:val="1"/>
                <w:color w:val="auto"/>
                <w:w w:val="88"/>
              </w:rPr>
              <w:t>110 Fulbourn Road</w:t>
            </w:r>
          </w:p>
        </w:tc>
        <w:tc>
          <w:tcPr>
            <w:tcW w:w="1700" w:type="dxa"/>
            <w:vAlign w:val="bottom"/>
          </w:tcPr>
          <w:p>
            <w:pPr>
              <w:spacing w:after="0"/>
              <w:rPr>
                <w:sz w:val="16"/>
                <w:szCs w:val="16"/>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60"/>
              <w:spacing w:after="0" w:line="135" w:lineRule="exact"/>
              <w:rPr>
                <w:sz w:val="20"/>
                <w:szCs w:val="20"/>
                <w:color w:val="auto"/>
              </w:rPr>
            </w:pPr>
            <w:r>
              <w:rPr>
                <w:rFonts w:ascii="Arial" w:cs="Arial" w:eastAsia="Arial" w:hAnsi="Arial"/>
                <w:sz w:val="13"/>
                <w:szCs w:val="13"/>
                <w:b w:val="1"/>
                <w:bCs w:val="1"/>
                <w:color w:val="auto"/>
                <w:w w:val="89"/>
              </w:rPr>
              <w:t>Cambridge CB1 9NJ</w:t>
            </w:r>
          </w:p>
        </w:tc>
        <w:tc>
          <w:tcPr>
            <w:tcW w:w="170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40"/>
              <w:spacing w:after="0" w:line="135" w:lineRule="exact"/>
              <w:rPr>
                <w:sz w:val="20"/>
                <w:szCs w:val="20"/>
                <w:color w:val="auto"/>
              </w:rPr>
            </w:pPr>
            <w:r>
              <w:rPr>
                <w:rFonts w:ascii="Arial" w:cs="Arial" w:eastAsia="Arial" w:hAnsi="Arial"/>
                <w:sz w:val="13"/>
                <w:szCs w:val="13"/>
                <w:b w:val="1"/>
                <w:bCs w:val="1"/>
                <w:color w:val="auto"/>
                <w:w w:val="89"/>
              </w:rPr>
              <w:t>United Kingdom</w:t>
            </w:r>
          </w:p>
        </w:tc>
        <w:tc>
          <w:tcPr>
            <w:tcW w:w="1700" w:type="dxa"/>
            <w:vAlign w:val="bottom"/>
          </w:tcPr>
          <w:p>
            <w:pPr>
              <w:spacing w:after="0"/>
              <w:rPr>
                <w:sz w:val="11"/>
                <w:szCs w:val="11"/>
                <w:color w:val="auto"/>
              </w:rPr>
            </w:pPr>
          </w:p>
        </w:tc>
      </w:tr>
      <w:tr>
        <w:trPr>
          <w:trHeight w:val="139"/>
        </w:trPr>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80" w:type="dxa"/>
            <w:vAlign w:val="bottom"/>
            <w:gridSpan w:val="2"/>
          </w:tcPr>
          <w:p>
            <w:pPr>
              <w:jc w:val="center"/>
              <w:ind w:right="1660"/>
              <w:spacing w:after="0" w:line="139" w:lineRule="exact"/>
              <w:rPr>
                <w:sz w:val="20"/>
                <w:szCs w:val="20"/>
                <w:color w:val="auto"/>
              </w:rPr>
            </w:pPr>
            <w:r>
              <w:rPr>
                <w:rFonts w:ascii="Arial" w:cs="Arial" w:eastAsia="Arial" w:hAnsi="Arial"/>
                <w:sz w:val="13"/>
                <w:szCs w:val="13"/>
                <w:b w:val="1"/>
                <w:bCs w:val="1"/>
                <w:color w:val="auto"/>
                <w:w w:val="88"/>
              </w:rPr>
              <w:t>Tel: +44 (1223) 400 400</w:t>
            </w:r>
          </w:p>
        </w:tc>
        <w:tc>
          <w:tcPr>
            <w:tcW w:w="1700" w:type="dxa"/>
            <w:vAlign w:val="bottom"/>
          </w:tcPr>
          <w:p>
            <w:pPr>
              <w:spacing w:after="0"/>
              <w:rPr>
                <w:sz w:val="12"/>
                <w:szCs w:val="12"/>
                <w:color w:val="auto"/>
              </w:rPr>
            </w:pPr>
          </w:p>
        </w:tc>
      </w:tr>
      <w:tr>
        <w:trPr>
          <w:trHeight w:val="140"/>
        </w:trPr>
        <w:tc>
          <w:tcPr>
            <w:tcW w:w="1640" w:type="dxa"/>
            <w:vAlign w:val="bottom"/>
          </w:tcPr>
          <w:p>
            <w:pPr>
              <w:spacing w:after="0"/>
              <w:rPr>
                <w:sz w:val="12"/>
                <w:szCs w:val="12"/>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7"/>
              </w:rPr>
              <w:t>(Address, including zip code, and telephone number, including area code, of Registrant’s principal executive offices)</w:t>
            </w:r>
          </w:p>
        </w:tc>
        <w:tc>
          <w:tcPr>
            <w:tcW w:w="1700" w:type="dxa"/>
            <w:vAlign w:val="bottom"/>
          </w:tcPr>
          <w:p>
            <w:pPr>
              <w:spacing w:after="0"/>
              <w:rPr>
                <w:sz w:val="12"/>
                <w:szCs w:val="12"/>
                <w:color w:val="auto"/>
              </w:rPr>
            </w:pPr>
          </w:p>
        </w:tc>
      </w:tr>
      <w:tr>
        <w:trPr>
          <w:trHeight w:val="184"/>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78"/>
        </w:trPr>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980" w:type="dxa"/>
            <w:vAlign w:val="bottom"/>
            <w:gridSpan w:val="2"/>
          </w:tcPr>
          <w:p>
            <w:pPr>
              <w:jc w:val="center"/>
              <w:ind w:right="1660"/>
              <w:spacing w:after="0"/>
              <w:rPr>
                <w:sz w:val="20"/>
                <w:szCs w:val="20"/>
                <w:color w:val="auto"/>
              </w:rPr>
            </w:pPr>
            <w:r>
              <w:rPr>
                <w:rFonts w:ascii="Arial" w:cs="Arial" w:eastAsia="Arial" w:hAnsi="Arial"/>
                <w:sz w:val="13"/>
                <w:szCs w:val="13"/>
                <w:b w:val="1"/>
                <w:bCs w:val="1"/>
                <w:color w:val="auto"/>
                <w:w w:val="93"/>
              </w:rPr>
              <w:t>Arm, Inc.</w:t>
            </w:r>
          </w:p>
        </w:tc>
        <w:tc>
          <w:tcPr>
            <w:tcW w:w="1700" w:type="dxa"/>
            <w:vAlign w:val="bottom"/>
          </w:tcPr>
          <w:p>
            <w:pPr>
              <w:spacing w:after="0"/>
              <w:rPr>
                <w:sz w:val="15"/>
                <w:szCs w:val="15"/>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60"/>
              <w:spacing w:after="0" w:line="135" w:lineRule="exact"/>
              <w:rPr>
                <w:sz w:val="20"/>
                <w:szCs w:val="20"/>
                <w:color w:val="auto"/>
              </w:rPr>
            </w:pPr>
            <w:r>
              <w:rPr>
                <w:rFonts w:ascii="Arial" w:cs="Arial" w:eastAsia="Arial" w:hAnsi="Arial"/>
                <w:sz w:val="13"/>
                <w:szCs w:val="13"/>
                <w:b w:val="1"/>
                <w:bCs w:val="1"/>
                <w:color w:val="auto"/>
                <w:w w:val="87"/>
              </w:rPr>
              <w:t>120 Rose Orchard Way</w:t>
            </w:r>
          </w:p>
        </w:tc>
        <w:tc>
          <w:tcPr>
            <w:tcW w:w="170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40"/>
              <w:spacing w:after="0" w:line="135" w:lineRule="exact"/>
              <w:rPr>
                <w:sz w:val="20"/>
                <w:szCs w:val="20"/>
                <w:color w:val="auto"/>
              </w:rPr>
            </w:pPr>
            <w:r>
              <w:rPr>
                <w:rFonts w:ascii="Arial" w:cs="Arial" w:eastAsia="Arial" w:hAnsi="Arial"/>
                <w:sz w:val="13"/>
                <w:szCs w:val="13"/>
                <w:b w:val="1"/>
                <w:bCs w:val="1"/>
                <w:color w:val="auto"/>
                <w:w w:val="86"/>
              </w:rPr>
              <w:t>San Jose, CA 95134</w:t>
            </w:r>
          </w:p>
        </w:tc>
        <w:tc>
          <w:tcPr>
            <w:tcW w:w="1700" w:type="dxa"/>
            <w:vAlign w:val="bottom"/>
          </w:tcPr>
          <w:p>
            <w:pPr>
              <w:spacing w:after="0"/>
              <w:rPr>
                <w:sz w:val="11"/>
                <w:szCs w:val="11"/>
                <w:color w:val="auto"/>
              </w:rPr>
            </w:pPr>
          </w:p>
        </w:tc>
      </w:tr>
      <w:tr>
        <w:trPr>
          <w:trHeight w:val="139"/>
        </w:trPr>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80" w:type="dxa"/>
            <w:vAlign w:val="bottom"/>
            <w:gridSpan w:val="2"/>
          </w:tcPr>
          <w:p>
            <w:pPr>
              <w:jc w:val="center"/>
              <w:ind w:right="1660"/>
              <w:spacing w:after="0" w:line="139" w:lineRule="exact"/>
              <w:rPr>
                <w:sz w:val="20"/>
                <w:szCs w:val="20"/>
                <w:color w:val="auto"/>
              </w:rPr>
            </w:pPr>
            <w:r>
              <w:rPr>
                <w:rFonts w:ascii="Arial" w:cs="Arial" w:eastAsia="Arial" w:hAnsi="Arial"/>
                <w:sz w:val="13"/>
                <w:szCs w:val="13"/>
                <w:b w:val="1"/>
                <w:bCs w:val="1"/>
                <w:color w:val="auto"/>
                <w:w w:val="89"/>
              </w:rPr>
              <w:t>Tel: +1 (408) 576-1500</w:t>
            </w:r>
          </w:p>
        </w:tc>
        <w:tc>
          <w:tcPr>
            <w:tcW w:w="1700" w:type="dxa"/>
            <w:vAlign w:val="bottom"/>
          </w:tcPr>
          <w:p>
            <w:pPr>
              <w:spacing w:after="0"/>
              <w:rPr>
                <w:sz w:val="12"/>
                <w:szCs w:val="12"/>
                <w:color w:val="auto"/>
              </w:rPr>
            </w:pPr>
          </w:p>
        </w:tc>
      </w:tr>
      <w:tr>
        <w:trPr>
          <w:trHeight w:val="140"/>
        </w:trPr>
        <w:tc>
          <w:tcPr>
            <w:tcW w:w="1640" w:type="dxa"/>
            <w:vAlign w:val="bottom"/>
          </w:tcPr>
          <w:p>
            <w:pPr>
              <w:spacing w:after="0"/>
              <w:rPr>
                <w:sz w:val="12"/>
                <w:szCs w:val="12"/>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6"/>
              </w:rPr>
              <w:t>(Name, address, including zip code, and telephone number, including area code, of agent for service)</w:t>
            </w:r>
          </w:p>
        </w:tc>
        <w:tc>
          <w:tcPr>
            <w:tcW w:w="1700" w:type="dxa"/>
            <w:vAlign w:val="bottom"/>
          </w:tcPr>
          <w:p>
            <w:pPr>
              <w:spacing w:after="0"/>
              <w:rPr>
                <w:sz w:val="12"/>
                <w:szCs w:val="12"/>
                <w:color w:val="auto"/>
              </w:rPr>
            </w:pPr>
          </w:p>
        </w:tc>
      </w:tr>
      <w:tr>
        <w:trPr>
          <w:trHeight w:val="197"/>
        </w:trPr>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1640" w:type="dxa"/>
            <w:vAlign w:val="bottom"/>
          </w:tcPr>
          <w:p>
            <w:pPr>
              <w:spacing w:after="0"/>
              <w:rPr>
                <w:sz w:val="18"/>
                <w:szCs w:val="18"/>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3"/>
                <w:szCs w:val="13"/>
                <w:b w:val="1"/>
                <w:bCs w:val="1"/>
                <w:i w:val="1"/>
                <w:iCs w:val="1"/>
                <w:color w:val="auto"/>
                <w:w w:val="83"/>
              </w:rPr>
              <w:t>Copies of all communications, including communications sent to agent for service, should be sent to:</w:t>
            </w:r>
          </w:p>
        </w:tc>
        <w:tc>
          <w:tcPr>
            <w:tcW w:w="1700" w:type="dxa"/>
            <w:vAlign w:val="bottom"/>
          </w:tcPr>
          <w:p>
            <w:pPr>
              <w:spacing w:after="0"/>
              <w:rPr>
                <w:sz w:val="18"/>
                <w:szCs w:val="18"/>
                <w:color w:val="auto"/>
              </w:rPr>
            </w:pPr>
          </w:p>
        </w:tc>
      </w:tr>
      <w:tr>
        <w:trPr>
          <w:trHeight w:val="187"/>
        </w:trPr>
        <w:tc>
          <w:tcPr>
            <w:tcW w:w="1640" w:type="dxa"/>
            <w:vAlign w:val="bottom"/>
          </w:tcPr>
          <w:p>
            <w:pPr>
              <w:jc w:val="center"/>
              <w:ind w:right="39"/>
              <w:spacing w:after="0"/>
              <w:rPr>
                <w:sz w:val="20"/>
                <w:szCs w:val="20"/>
                <w:color w:val="auto"/>
              </w:rPr>
            </w:pPr>
            <w:r>
              <w:rPr>
                <w:rFonts w:ascii="Arial" w:cs="Arial" w:eastAsia="Arial" w:hAnsi="Arial"/>
                <w:sz w:val="13"/>
                <w:szCs w:val="13"/>
                <w:b w:val="1"/>
                <w:bCs w:val="1"/>
                <w:color w:val="auto"/>
                <w:w w:val="87"/>
              </w:rPr>
              <w:t>Justin R. Salon</w:t>
            </w:r>
          </w:p>
        </w:tc>
        <w:tc>
          <w:tcPr>
            <w:tcW w:w="1600" w:type="dxa"/>
            <w:vAlign w:val="bottom"/>
          </w:tcPr>
          <w:p>
            <w:pPr>
              <w:spacing w:after="0"/>
              <w:rPr>
                <w:sz w:val="16"/>
                <w:szCs w:val="16"/>
                <w:color w:val="auto"/>
              </w:rPr>
            </w:pPr>
          </w:p>
        </w:tc>
        <w:tc>
          <w:tcPr>
            <w:tcW w:w="3980" w:type="dxa"/>
            <w:vAlign w:val="bottom"/>
            <w:gridSpan w:val="2"/>
          </w:tcPr>
          <w:p>
            <w:pPr>
              <w:jc w:val="center"/>
              <w:ind w:right="1420"/>
              <w:spacing w:after="0"/>
              <w:rPr>
                <w:sz w:val="20"/>
                <w:szCs w:val="20"/>
                <w:color w:val="auto"/>
              </w:rPr>
            </w:pPr>
            <w:r>
              <w:rPr>
                <w:rFonts w:ascii="Arial" w:cs="Arial" w:eastAsia="Arial" w:hAnsi="Arial"/>
                <w:sz w:val="13"/>
                <w:szCs w:val="13"/>
                <w:b w:val="1"/>
                <w:bCs w:val="1"/>
                <w:color w:val="auto"/>
                <w:w w:val="86"/>
              </w:rPr>
              <w:t>Kenneth A. Siegel</w:t>
            </w:r>
          </w:p>
        </w:tc>
        <w:tc>
          <w:tcPr>
            <w:tcW w:w="1700" w:type="dxa"/>
            <w:vAlign w:val="bottom"/>
          </w:tcPr>
          <w:p>
            <w:pPr>
              <w:jc w:val="center"/>
              <w:ind w:left="99"/>
              <w:spacing w:after="0"/>
              <w:rPr>
                <w:sz w:val="20"/>
                <w:szCs w:val="20"/>
                <w:color w:val="auto"/>
              </w:rPr>
            </w:pPr>
            <w:r>
              <w:rPr>
                <w:rFonts w:ascii="Arial" w:cs="Arial" w:eastAsia="Arial" w:hAnsi="Arial"/>
                <w:sz w:val="13"/>
                <w:szCs w:val="13"/>
                <w:b w:val="1"/>
                <w:bCs w:val="1"/>
                <w:color w:val="auto"/>
                <w:w w:val="89"/>
              </w:rPr>
              <w:t>Richard D. Truesdell, Jr.</w:t>
            </w:r>
          </w:p>
        </w:tc>
      </w:tr>
      <w:tr>
        <w:trPr>
          <w:trHeight w:val="135"/>
        </w:trPr>
        <w:tc>
          <w:tcPr>
            <w:tcW w:w="1640" w:type="dxa"/>
            <w:vAlign w:val="bottom"/>
          </w:tcPr>
          <w:p>
            <w:pPr>
              <w:jc w:val="center"/>
              <w:ind w:right="59"/>
              <w:spacing w:after="0" w:line="135" w:lineRule="exact"/>
              <w:rPr>
                <w:sz w:val="20"/>
                <w:szCs w:val="20"/>
                <w:color w:val="auto"/>
              </w:rPr>
            </w:pPr>
            <w:r>
              <w:rPr>
                <w:rFonts w:ascii="Arial" w:cs="Arial" w:eastAsia="Arial" w:hAnsi="Arial"/>
                <w:sz w:val="13"/>
                <w:szCs w:val="13"/>
                <w:b w:val="1"/>
                <w:bCs w:val="1"/>
                <w:color w:val="auto"/>
                <w:w w:val="86"/>
              </w:rPr>
              <w:t>R. John Hensley</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3"/>
              </w:rPr>
              <w:t>Jesse S. Gillespie</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87"/>
              </w:rPr>
              <w:t>Derek J. Dostal</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6"/>
              </w:rPr>
              <w:t>John T. Owen</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91"/>
              </w:rPr>
              <w:t>Morrison &amp; Foerster LLP</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91"/>
              </w:rPr>
              <w:t>Davis Polk &amp; Wardwell LLP</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93"/>
              </w:rPr>
              <w:t>Morrison &amp; Foerster LLP</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9"/>
              </w:rPr>
              <w:t>Shin-Marunouchi Building, 29th Floor</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85"/>
              </w:rPr>
              <w:t>450 Lexington Avenue</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8"/>
              </w:rPr>
              <w:t>2100 L Street, NW, Suite 900</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90"/>
              </w:rPr>
              <w:t>5-1, Marunouchi 1-Chome</w:t>
            </w:r>
          </w:p>
        </w:tc>
        <w:tc>
          <w:tcPr>
            <w:tcW w:w="1700" w:type="dxa"/>
            <w:vAlign w:val="bottom"/>
          </w:tcPr>
          <w:p>
            <w:pPr>
              <w:jc w:val="center"/>
              <w:ind w:left="119"/>
              <w:spacing w:after="0" w:line="135" w:lineRule="exact"/>
              <w:rPr>
                <w:sz w:val="20"/>
                <w:szCs w:val="20"/>
                <w:color w:val="auto"/>
              </w:rPr>
            </w:pPr>
            <w:r>
              <w:rPr>
                <w:rFonts w:ascii="Arial" w:cs="Arial" w:eastAsia="Arial" w:hAnsi="Arial"/>
                <w:sz w:val="13"/>
                <w:szCs w:val="13"/>
                <w:b w:val="1"/>
                <w:bCs w:val="1"/>
                <w:color w:val="auto"/>
                <w:w w:val="89"/>
              </w:rPr>
              <w:t>New York, New York 10017</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8"/>
              </w:rPr>
              <w:t>Washington, D.C. 20037</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7"/>
              </w:rPr>
              <w:t>Chiyoda-ku, Tokyo, Japan 100-6529</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87"/>
              </w:rPr>
              <w:t>+1 (212) 450-4000</w:t>
            </w:r>
          </w:p>
        </w:tc>
      </w:tr>
      <w:tr>
        <w:trPr>
          <w:trHeight w:val="164"/>
        </w:trPr>
        <w:tc>
          <w:tcPr>
            <w:tcW w:w="1640" w:type="dxa"/>
            <w:vAlign w:val="bottom"/>
          </w:tcPr>
          <w:p>
            <w:pPr>
              <w:jc w:val="center"/>
              <w:ind w:right="59"/>
              <w:spacing w:after="0"/>
              <w:rPr>
                <w:sz w:val="20"/>
                <w:szCs w:val="20"/>
                <w:color w:val="auto"/>
              </w:rPr>
            </w:pPr>
            <w:r>
              <w:rPr>
                <w:rFonts w:ascii="Arial" w:cs="Arial" w:eastAsia="Arial" w:hAnsi="Arial"/>
                <w:sz w:val="13"/>
                <w:szCs w:val="13"/>
                <w:b w:val="1"/>
                <w:bCs w:val="1"/>
                <w:color w:val="auto"/>
                <w:w w:val="89"/>
              </w:rPr>
              <w:t>+1 (202) 887-1500</w:t>
            </w:r>
          </w:p>
        </w:tc>
        <w:tc>
          <w:tcPr>
            <w:tcW w:w="3920" w:type="dxa"/>
            <w:vAlign w:val="bottom"/>
            <w:gridSpan w:val="2"/>
          </w:tcPr>
          <w:p>
            <w:pPr>
              <w:jc w:val="right"/>
              <w:ind w:right="538"/>
              <w:spacing w:after="0"/>
              <w:rPr>
                <w:sz w:val="20"/>
                <w:szCs w:val="20"/>
                <w:color w:val="auto"/>
              </w:rPr>
            </w:pPr>
            <w:r>
              <w:rPr>
                <w:rFonts w:ascii="Arial" w:cs="Arial" w:eastAsia="Arial" w:hAnsi="Arial"/>
                <w:sz w:val="13"/>
                <w:szCs w:val="13"/>
                <w:b w:val="1"/>
                <w:bCs w:val="1"/>
                <w:color w:val="auto"/>
              </w:rPr>
              <w:t>+81-3 3214 6522</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2"/>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1"/>
        </w:trPr>
        <w:tc>
          <w:tcPr>
            <w:tcW w:w="1640" w:type="dxa"/>
            <w:vAlign w:val="bottom"/>
          </w:tcPr>
          <w:p>
            <w:pPr>
              <w:spacing w:after="0"/>
              <w:rPr>
                <w:sz w:val="16"/>
                <w:szCs w:val="16"/>
                <w:color w:val="auto"/>
              </w:rPr>
            </w:pPr>
          </w:p>
        </w:tc>
        <w:tc>
          <w:tcPr>
            <w:tcW w:w="55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5"/>
              </w:rPr>
              <w:t>Approximate date of commencement of proposed sale to public:</w:t>
            </w:r>
          </w:p>
        </w:tc>
        <w:tc>
          <w:tcPr>
            <w:tcW w:w="1700" w:type="dxa"/>
            <w:vAlign w:val="bottom"/>
          </w:tcPr>
          <w:p>
            <w:pPr>
              <w:spacing w:after="0"/>
              <w:rPr>
                <w:sz w:val="16"/>
                <w:szCs w:val="16"/>
                <w:color w:val="auto"/>
              </w:rPr>
            </w:pPr>
          </w:p>
        </w:tc>
      </w:tr>
      <w:tr>
        <w:trPr>
          <w:trHeight w:val="164"/>
        </w:trPr>
        <w:tc>
          <w:tcPr>
            <w:tcW w:w="1640" w:type="dxa"/>
            <w:vAlign w:val="bottom"/>
          </w:tcPr>
          <w:p>
            <w:pPr>
              <w:spacing w:after="0"/>
              <w:rPr>
                <w:sz w:val="14"/>
                <w:szCs w:val="14"/>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5"/>
              </w:rPr>
              <w:t>As soon as practicable after this registration statement becomes effective.</w:t>
            </w:r>
          </w:p>
        </w:tc>
        <w:tc>
          <w:tcPr>
            <w:tcW w:w="1700" w:type="dxa"/>
            <w:vAlign w:val="bottom"/>
          </w:tcPr>
          <w:p>
            <w:pPr>
              <w:spacing w:after="0"/>
              <w:rPr>
                <w:sz w:val="14"/>
                <w:szCs w:val="14"/>
                <w:color w:val="auto"/>
              </w:rPr>
            </w:pPr>
          </w:p>
        </w:tc>
      </w:tr>
    </w:tbl>
    <w:p>
      <w:pPr>
        <w:spacing w:after="0" w:line="23" w:lineRule="exact"/>
        <w:rPr>
          <w:sz w:val="24"/>
          <w:szCs w:val="24"/>
          <w:color w:val="auto"/>
        </w:rPr>
      </w:pPr>
    </w:p>
    <w:p>
      <w:pPr>
        <w:ind w:left="4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6" w:lineRule="exact"/>
        <w:rPr>
          <w:sz w:val="24"/>
          <w:szCs w:val="24"/>
          <w:color w:val="auto"/>
        </w:rPr>
      </w:pPr>
    </w:p>
    <w:p>
      <w:pPr>
        <w:ind w:left="120" w:right="80" w:firstLine="330"/>
        <w:spacing w:after="0" w:line="164"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ind w:left="120" w:right="520" w:firstLine="33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3" w:lineRule="exact"/>
        <w:rPr>
          <w:sz w:val="24"/>
          <w:szCs w:val="24"/>
          <w:color w:val="auto"/>
        </w:rPr>
      </w:pPr>
    </w:p>
    <w:p>
      <w:pPr>
        <w:ind w:left="120" w:right="520" w:firstLine="33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w:t>
      </w:r>
    </w:p>
    <w:p>
      <w:pPr>
        <w:spacing w:after="0" w:line="4" w:lineRule="exact"/>
        <w:rPr>
          <w:sz w:val="24"/>
          <w:szCs w:val="24"/>
          <w:color w:val="auto"/>
        </w:rPr>
      </w:pPr>
    </w:p>
    <w:p>
      <w:pPr>
        <w:ind w:left="9580"/>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96" w:lineRule="exact"/>
        <w:rPr>
          <w:sz w:val="24"/>
          <w:szCs w:val="24"/>
          <w:color w:val="auto"/>
        </w:rPr>
      </w:pPr>
    </w:p>
    <w:p>
      <w:pPr>
        <w:ind w:left="120" w:right="180" w:firstLine="330"/>
        <w:spacing w:after="0" w:line="164"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9" w:lineRule="exact"/>
        <w:rPr>
          <w:sz w:val="24"/>
          <w:szCs w:val="24"/>
          <w:color w:val="auto"/>
        </w:rPr>
      </w:pPr>
    </w:p>
    <w:p>
      <w:pPr>
        <w:ind w:left="120" w:right="80" w:firstLine="33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7" w:lineRule="exact"/>
        <w:rPr>
          <w:sz w:val="24"/>
          <w:szCs w:val="24"/>
          <w:color w:val="auto"/>
        </w:rPr>
      </w:pPr>
    </w:p>
    <w:p>
      <w:pPr>
        <w:ind w:left="440" w:right="220" w:hanging="324"/>
        <w:spacing w:after="0" w:line="245" w:lineRule="auto"/>
        <w:tabs>
          <w:tab w:leader="none" w:pos="440" w:val="left"/>
        </w:tabs>
        <w:numPr>
          <w:ilvl w:val="0"/>
          <w:numId w:val="2"/>
        </w:numPr>
        <w:rPr>
          <w:rFonts w:ascii="Arial" w:cs="Arial" w:eastAsia="Arial" w:hAnsi="Arial"/>
          <w:sz w:val="12"/>
          <w:szCs w:val="12"/>
          <w:color w:val="auto"/>
        </w:rPr>
      </w:pPr>
      <w:r>
        <w:rPr>
          <w:rFonts w:ascii="Arial" w:cs="Arial" w:eastAsia="Arial" w:hAnsi="Arial"/>
          <w:sz w:val="12"/>
          <w:szCs w:val="12"/>
          <w:color w:val="auto"/>
        </w:rPr>
        <w:t>Arm Holdings Limited, a company with limited liability incorporated under the laws of England and Wales, will become the holding company of Arm Limited and will be the Registrant. We intend to alter the legal status of the Registrant under English law from a private limited company by re-registering as a public limited company and changing the name of the Registrant from Arm Holdings Limited to Arm Holdings plc prior to the completion of this offering. See the section titled “Corporate Reorganization” in the prospectus which forms a part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20"/>
        <w:spacing w:after="0" w:line="343" w:lineRule="auto"/>
        <w:rPr>
          <w:sz w:val="20"/>
          <w:szCs w:val="20"/>
          <w:color w:val="auto"/>
        </w:rPr>
      </w:pPr>
      <w:r>
        <w:rPr>
          <w:rFonts w:ascii="Arial" w:cs="Arial" w:eastAsia="Arial" w:hAnsi="Arial"/>
          <w:sz w:val="15"/>
          <w:szCs w:val="15"/>
          <w:b w:val="1"/>
          <w:bCs w:val="1"/>
          <w:color w:val="FF4338"/>
        </w:rPr>
        <w:t>The information contained in this prospectus is not complete and may be changed. The selling shareholders may not sell these securities until the registration statement filed with the Securities and Exchange Commission is effective. This prospectus is not an offer to sell these securities and the selling shareholders are not soliciting offers to buy these securities in any jurisdiction where the offer or sale is not permitted.</w:t>
      </w:r>
    </w:p>
    <w:p>
      <w:pPr>
        <w:sectPr>
          <w:pgSz w:w="11900" w:h="16838" w:orient="portrait"/>
          <w:cols w:equalWidth="0" w:num="1">
            <w:col w:w="11140"/>
          </w:cols>
          <w:pgMar w:left="320" w:top="459" w:right="439" w:bottom="1440" w:gutter="0" w:footer="0" w:header="0"/>
        </w:sectPr>
      </w:pPr>
    </w:p>
    <w:p>
      <w:pPr>
        <w:spacing w:after="0" w:line="61"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FF4338"/>
        </w:rPr>
        <w:t>Subject to Completion</w:t>
      </w:r>
    </w:p>
    <w:p>
      <w:pPr>
        <w:spacing w:after="0" w:line="49"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FF4338"/>
        </w:rPr>
        <w:t>Preliminary Prospectus dated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FF4338"/>
        </w:rPr>
        <w:t>, 2023.</w:t>
      </w:r>
    </w:p>
    <w:p>
      <w:pPr>
        <w:spacing w:after="0" w:line="130" w:lineRule="exact"/>
        <w:rPr>
          <w:sz w:val="20"/>
          <w:szCs w:val="20"/>
          <w:color w:val="auto"/>
        </w:rPr>
      </w:pPr>
    </w:p>
    <w:p>
      <w:pPr>
        <w:sectPr>
          <w:pgSz w:w="11900" w:h="16838" w:orient="portrait"/>
          <w:cols w:equalWidth="0" w:num="2">
            <w:col w:w="6400" w:space="300"/>
            <w:col w:w="444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29"/>
          <w:szCs w:val="29"/>
          <w:b w:val="1"/>
          <w:bCs w:val="1"/>
          <w:color w:val="auto"/>
        </w:rPr>
        <w:t>American Depositary Shares</w:t>
      </w:r>
    </w:p>
    <w:p>
      <w:pPr>
        <w:spacing w:after="0" w:line="36" w:lineRule="exact"/>
        <w:rPr>
          <w:sz w:val="20"/>
          <w:szCs w:val="20"/>
          <w:color w:val="auto"/>
        </w:rPr>
      </w:pPr>
    </w:p>
    <w:p>
      <w:pPr>
        <w:jc w:val="center"/>
        <w:ind w:right="-119"/>
        <w:spacing w:after="0"/>
        <w:tabs>
          <w:tab w:leader="none" w:pos="980" w:val="left"/>
        </w:tabs>
        <w:rPr>
          <w:sz w:val="20"/>
          <w:szCs w:val="20"/>
          <w:color w:val="auto"/>
        </w:rPr>
      </w:pPr>
      <w:r>
        <w:rPr>
          <w:rFonts w:ascii="Arial" w:cs="Arial" w:eastAsia="Arial" w:hAnsi="Arial"/>
          <w:sz w:val="29"/>
          <w:szCs w:val="29"/>
          <w:b w:val="1"/>
          <w:bCs w:val="1"/>
          <w:color w:val="auto"/>
        </w:rPr>
        <w:t>(Representing</w:t>
      </w:r>
      <w:r>
        <w:rPr>
          <w:sz w:val="20"/>
          <w:szCs w:val="20"/>
          <w:color w:val="auto"/>
        </w:rPr>
        <w:tab/>
      </w: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1151255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234315</wp:posOffset>
            </wp:positionV>
            <wp:extent cx="1894205" cy="60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4205" cy="6083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is an initial offering of American depositary shares (“ADSs”) representing ordinary shares of Arm Holdings plc.</w:t>
      </w:r>
    </w:p>
    <w:p>
      <w:pPr>
        <w:spacing w:after="0" w:line="86" w:lineRule="exact"/>
        <w:rPr>
          <w:sz w:val="20"/>
          <w:szCs w:val="20"/>
          <w:color w:val="auto"/>
        </w:rPr>
      </w:pPr>
    </w:p>
    <w:p>
      <w:pPr>
        <w:jc w:val="both"/>
        <w:ind w:left="120" w:right="200" w:firstLine="440"/>
        <w:spacing w:after="0" w:line="278" w:lineRule="auto"/>
        <w:rPr>
          <w:sz w:val="20"/>
          <w:szCs w:val="20"/>
          <w:color w:val="auto"/>
        </w:rPr>
      </w:pPr>
      <w:r>
        <w:rPr>
          <w:rFonts w:ascii="Arial" w:cs="Arial" w:eastAsia="Arial" w:hAnsi="Arial"/>
          <w:sz w:val="16"/>
          <w:szCs w:val="16"/>
          <w:color w:val="auto"/>
        </w:rPr>
        <w:t>All of the ADSs to be sold in this offering are currently held by the selling shareholders identified in this prospectus. We are not selling any of the ADSs in this offering and will not receive any proceeds from the sale of the ADSs by the selling shareholders in this offering. Each ADS represents the right to receive one ordinary share, nominal value £0.001 per share, and may be evidenced by American depositary receipts (“ADRs”).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Prior to this offering, there has been no public market for the ADSs or our ordinary shares. The initial public offering price per ADS is estimated to be between</w:t>
      </w:r>
    </w:p>
    <w:p>
      <w:pPr>
        <w:spacing w:after="0" w:line="34" w:lineRule="exact"/>
        <w:rPr>
          <w:sz w:val="20"/>
          <w:szCs w:val="20"/>
          <w:color w:val="auto"/>
        </w:rPr>
      </w:pPr>
    </w:p>
    <w:p>
      <w:pPr>
        <w:ind w:left="560" w:hanging="444"/>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and $</w:t>
      </w:r>
      <w:r>
        <w:rPr>
          <w:rFonts w:ascii="Arial" w:cs="Arial" w:eastAsia="Arial" w:hAnsi="Arial"/>
          <w:sz w:val="15"/>
          <w:szCs w:val="15"/>
          <w:color w:val="auto"/>
        </w:rPr>
        <w:t>. We intend to apply to list our ADSs on the Nasdaq Global Select Market (“Nasdaq”) under the symbol “ARM”.</w:t>
      </w:r>
    </w:p>
    <w:p>
      <w:pPr>
        <w:spacing w:after="0" w:line="82" w:lineRule="exact"/>
        <w:rPr>
          <w:sz w:val="20"/>
          <w:szCs w:val="20"/>
          <w:color w:val="auto"/>
        </w:rPr>
      </w:pPr>
    </w:p>
    <w:p>
      <w:pPr>
        <w:ind w:left="120" w:right="360" w:firstLine="440"/>
        <w:spacing w:after="0" w:line="328" w:lineRule="auto"/>
        <w:rPr>
          <w:sz w:val="20"/>
          <w:szCs w:val="20"/>
          <w:color w:val="auto"/>
        </w:rPr>
      </w:pPr>
      <w:r>
        <w:rPr>
          <w:rFonts w:ascii="Arial" w:cs="Arial" w:eastAsia="Arial" w:hAnsi="Arial"/>
          <w:sz w:val="15"/>
          <w:szCs w:val="15"/>
          <w:color w:val="auto"/>
        </w:rPr>
        <w:t>We are a “foreign private issuer” as defined under the U.S. federal securities laws and, as such, will be subject to reduced public company reporting and stock exchange governance requirements. See “Management and Executive Remuneration—Foreign Private Issuer Exemption” for additional information.</w:t>
      </w:r>
    </w:p>
    <w:p>
      <w:pPr>
        <w:spacing w:after="0" w:line="1" w:lineRule="exact"/>
        <w:rPr>
          <w:sz w:val="20"/>
          <w:szCs w:val="20"/>
          <w:color w:val="auto"/>
        </w:rPr>
      </w:pPr>
    </w:p>
    <w:p>
      <w:pPr>
        <w:ind w:left="120" w:right="100" w:firstLine="440"/>
        <w:spacing w:after="0" w:line="297" w:lineRule="auto"/>
        <w:rPr>
          <w:sz w:val="20"/>
          <w:szCs w:val="20"/>
          <w:color w:val="auto"/>
        </w:rPr>
      </w:pPr>
      <w:r>
        <w:rPr>
          <w:rFonts w:ascii="Arial" w:cs="Arial" w:eastAsia="Arial" w:hAnsi="Arial"/>
          <w:sz w:val="15"/>
          <w:szCs w:val="15"/>
          <w:color w:val="auto"/>
        </w:rPr>
        <w:t>SoftBank Group Corp. (“SoftBank”) and SoftBank Vision Fund L.P. (“SoftBank Vision Fund”) are expected to beneficially own approximately % and %, respectively, of our outstanding ordinary shares following the completion of this offering (or approximately % and %, respectively, if the underwriters exercise their option to purchase additional ADSs from the selling shareholders in full). As a result of SoftBank’s ownership, after the completion of this offering, we will be a “controlled company” within the meaning of Nasdaq rules. See “Management and Executive Remuneration—Controlled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1"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b w:val="1"/>
          <w:bCs w:val="1"/>
          <w:color w:val="auto"/>
        </w:rPr>
        <w:t>Investing in our ADSs involves a high degree of risk. Before buying any ADSs, you should carefully read the discussion of material risks of investing in our ADSs in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18 of this prospectus.</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color w:val="auto"/>
                <w:w w:val="91"/>
              </w:rPr>
              <w:t>PER ADS</w:t>
            </w:r>
          </w:p>
        </w:tc>
        <w:tc>
          <w:tcPr>
            <w:tcW w:w="60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color w:val="auto"/>
              </w:rPr>
              <w:t>TOTAL</w:t>
            </w: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20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Underwriting discounts and commissions</w:t>
            </w:r>
          </w:p>
        </w:tc>
        <w:tc>
          <w:tcPr>
            <w:tcW w:w="2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the selling shareholders</w:t>
            </w:r>
          </w:p>
        </w:tc>
        <w:tc>
          <w:tcPr>
            <w:tcW w:w="2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48"/>
        </w:trPr>
        <w:tc>
          <w:tcPr>
            <w:tcW w:w="1220" w:type="dxa"/>
            <w:vAlign w:val="bottom"/>
            <w:tcBorders>
              <w:bottom w:val="single" w:sz="8" w:color="auto"/>
            </w:tcBorders>
          </w:tcPr>
          <w:p>
            <w:pPr>
              <w:spacing w:after="0"/>
              <w:rPr>
                <w:sz w:val="12"/>
                <w:szCs w:val="12"/>
                <w:color w:val="auto"/>
              </w:rPr>
            </w:pPr>
          </w:p>
        </w:tc>
        <w:tc>
          <w:tcPr>
            <w:tcW w:w="4720" w:type="dxa"/>
            <w:vAlign w:val="bottom"/>
            <w:gridSpan w:val="2"/>
          </w:tcPr>
          <w:p>
            <w:pPr>
              <w:spacing w:after="0"/>
              <w:rPr>
                <w:sz w:val="12"/>
                <w:szCs w:val="12"/>
                <w:color w:val="auto"/>
              </w:rPr>
            </w:pPr>
          </w:p>
        </w:tc>
        <w:tc>
          <w:tcPr>
            <w:tcW w:w="4900" w:type="dxa"/>
            <w:vAlign w:val="bottom"/>
            <w:gridSpan w:val="5"/>
          </w:tcPr>
          <w:p>
            <w:pPr>
              <w:spacing w:after="0"/>
              <w:rPr>
                <w:sz w:val="12"/>
                <w:szCs w:val="12"/>
                <w:color w:val="auto"/>
              </w:rPr>
            </w:pPr>
          </w:p>
        </w:tc>
      </w:tr>
      <w:tr>
        <w:trPr>
          <w:trHeight w:val="258"/>
        </w:trPr>
        <w:tc>
          <w:tcPr>
            <w:tcW w:w="5940" w:type="dxa"/>
            <w:vAlign w:val="bottom"/>
            <w:gridSpan w:val="3"/>
          </w:tcPr>
          <w:p>
            <w:pPr>
              <w:ind w:left="440"/>
              <w:spacing w:after="0"/>
              <w:rPr>
                <w:sz w:val="20"/>
                <w:szCs w:val="20"/>
                <w:color w:val="auto"/>
              </w:rPr>
            </w:pPr>
            <w:r>
              <w:rPr>
                <w:rFonts w:ascii="Arial" w:cs="Arial" w:eastAsia="Arial" w:hAnsi="Arial"/>
                <w:sz w:val="16"/>
                <w:szCs w:val="16"/>
                <w:color w:val="auto"/>
                <w:w w:val="97"/>
              </w:rPr>
              <w:t>The underwriters may also exercise their option to purchase up to an additional</w:t>
            </w:r>
          </w:p>
        </w:tc>
        <w:tc>
          <w:tcPr>
            <w:tcW w:w="4900" w:type="dxa"/>
            <w:vAlign w:val="bottom"/>
            <w:gridSpan w:val="5"/>
          </w:tcPr>
          <w:p>
            <w:pPr>
              <w:ind w:left="360"/>
              <w:spacing w:after="0"/>
              <w:rPr>
                <w:sz w:val="20"/>
                <w:szCs w:val="20"/>
                <w:color w:val="auto"/>
              </w:rPr>
            </w:pPr>
            <w:r>
              <w:rPr>
                <w:rFonts w:ascii="Arial" w:cs="Arial" w:eastAsia="Arial" w:hAnsi="Arial"/>
                <w:sz w:val="16"/>
                <w:szCs w:val="16"/>
                <w:color w:val="auto"/>
                <w:w w:val="93"/>
              </w:rPr>
              <w:t>ADSs from the selling shareholders at the initial public offering price,</w:t>
            </w:r>
          </w:p>
        </w:tc>
      </w:tr>
    </w:tbl>
    <w:p>
      <w:pPr>
        <w:ind w:left="120" w:right="360"/>
        <w:spacing w:after="0" w:line="288" w:lineRule="auto"/>
        <w:rPr>
          <w:sz w:val="20"/>
          <w:szCs w:val="20"/>
          <w:color w:val="auto"/>
        </w:rPr>
      </w:pPr>
      <w:r>
        <w:rPr>
          <w:rFonts w:ascii="Arial" w:cs="Arial" w:eastAsia="Arial" w:hAnsi="Arial"/>
          <w:sz w:val="16"/>
          <w:szCs w:val="16"/>
          <w:color w:val="auto"/>
        </w:rPr>
        <w:t>less the underwriting discounts and commissions, for 30 days after the date of the final prospectus. We will not receive any proceeds from the sale of such additional ADSs by the selling shareholders.</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7000" w:type="dxa"/>
            <w:vAlign w:val="bottom"/>
          </w:tcPr>
          <w:p>
            <w:pPr>
              <w:spacing w:after="0"/>
              <w:rPr>
                <w:sz w:val="20"/>
                <w:szCs w:val="20"/>
                <w:color w:val="auto"/>
              </w:rPr>
            </w:pPr>
            <w:r>
              <w:rPr>
                <w:rFonts w:ascii="Arial" w:cs="Arial" w:eastAsia="Arial" w:hAnsi="Arial"/>
                <w:sz w:val="16"/>
                <w:szCs w:val="16"/>
                <w:color w:val="auto"/>
              </w:rPr>
              <w:t>Raine Securities LLC is acting as our financial advisor in connection with this offering.</w:t>
            </w:r>
          </w:p>
        </w:tc>
        <w:tc>
          <w:tcPr>
            <w:tcW w:w="780" w:type="dxa"/>
            <w:vAlign w:val="bottom"/>
          </w:tcPr>
          <w:p>
            <w:pPr>
              <w:spacing w:after="0"/>
              <w:rPr>
                <w:sz w:val="17"/>
                <w:szCs w:val="17"/>
                <w:color w:val="auto"/>
              </w:rPr>
            </w:pPr>
          </w:p>
        </w:tc>
      </w:tr>
      <w:tr>
        <w:trPr>
          <w:trHeight w:val="283"/>
        </w:trPr>
        <w:tc>
          <w:tcPr>
            <w:tcW w:w="7000" w:type="dxa"/>
            <w:vAlign w:val="bottom"/>
          </w:tcPr>
          <w:p>
            <w:pPr>
              <w:spacing w:after="0"/>
              <w:rPr>
                <w:sz w:val="20"/>
                <w:szCs w:val="20"/>
                <w:color w:val="auto"/>
              </w:rPr>
            </w:pPr>
            <w:r>
              <w:rPr>
                <w:rFonts w:ascii="Arial" w:cs="Arial" w:eastAsia="Arial" w:hAnsi="Arial"/>
                <w:sz w:val="16"/>
                <w:szCs w:val="16"/>
                <w:color w:val="auto"/>
                <w:w w:val="96"/>
              </w:rPr>
              <w:t>The underwriters expect to deliver the ADSs against payment in U.S. dollars to purchasers on or about</w:t>
            </w:r>
          </w:p>
        </w:tc>
        <w:tc>
          <w:tcPr>
            <w:tcW w:w="780" w:type="dxa"/>
            <w:vAlign w:val="bottom"/>
          </w:tcPr>
          <w:p>
            <w:pPr>
              <w:jc w:val="right"/>
              <w:spacing w:after="0"/>
              <w:rPr>
                <w:sz w:val="20"/>
                <w:szCs w:val="20"/>
                <w:color w:val="auto"/>
              </w:rPr>
            </w:pPr>
            <w:r>
              <w:rPr>
                <w:rFonts w:ascii="Arial" w:cs="Arial" w:eastAsia="Arial" w:hAnsi="Arial"/>
                <w:sz w:val="16"/>
                <w:szCs w:val="16"/>
                <w:color w:val="auto"/>
              </w:rPr>
              <w:t>, 2023.</w:t>
            </w:r>
          </w:p>
        </w:tc>
      </w:tr>
    </w:tbl>
    <w:p>
      <w:pPr>
        <w:spacing w:after="0" w:line="60" w:lineRule="exact"/>
        <w:rPr>
          <w:sz w:val="20"/>
          <w:szCs w:val="20"/>
          <w:color w:val="auto"/>
        </w:rPr>
      </w:pPr>
    </w:p>
    <w:p>
      <w:pPr>
        <w:ind w:left="120" w:right="360" w:firstLine="44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U.S.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1140"/>
          </w:cols>
          <w:pgMar w:left="320" w:top="459" w:right="439" w:bottom="1440" w:gutter="0" w:footer="0" w:header="0"/>
          <w:type w:val="continuous"/>
        </w:sectPr>
      </w:pPr>
    </w:p>
    <w:p>
      <w:pPr>
        <w:spacing w:after="0" w:line="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Mizuho</w:t>
      </w:r>
    </w:p>
    <w:p>
      <w:pPr>
        <w:spacing w:after="0" w:line="200" w:lineRule="exact"/>
        <w:rPr>
          <w:sz w:val="20"/>
          <w:szCs w:val="20"/>
          <w:color w:val="auto"/>
        </w:rPr>
      </w:pPr>
    </w:p>
    <w:p>
      <w:pPr>
        <w:sectPr>
          <w:pgSz w:w="11900" w:h="16838" w:orient="portrait"/>
          <w:cols w:equalWidth="0" w:num="4">
            <w:col w:w="1960" w:space="720"/>
            <w:col w:w="3740" w:space="720"/>
            <w:col w:w="2440" w:space="720"/>
            <w:col w:w="840"/>
          </w:cols>
          <w:pgMar w:left="320" w:top="459" w:right="439" w:bottom="1440" w:gutter="0" w:footer="0" w:header="0"/>
          <w:type w:val="continuous"/>
        </w:sectPr>
      </w:pPr>
    </w:p>
    <w:p>
      <w:pPr>
        <w:spacing w:after="0" w:line="23" w:lineRule="exact"/>
        <w:rPr>
          <w:sz w:val="20"/>
          <w:szCs w:val="20"/>
          <w:color w:val="auto"/>
        </w:rPr>
      </w:pPr>
    </w:p>
    <w:p>
      <w:pPr>
        <w:ind w:left="340" w:hanging="224"/>
        <w:spacing w:after="0"/>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alphabetical order.</w:t>
      </w:r>
    </w:p>
    <w:p>
      <w:pPr>
        <w:spacing w:after="0" w:line="86" w:lineRule="exact"/>
        <w:rPr>
          <w:sz w:val="20"/>
          <w:szCs w:val="20"/>
          <w:color w:val="auto"/>
        </w:rPr>
      </w:pPr>
    </w:p>
    <w:tbl>
      <w:tblPr>
        <w:tblLayout w:type="fixed"/>
        <w:tblInd w:w="4200" w:type="dxa"/>
        <w:tblCellMar>
          <w:top w:w="0" w:type="dxa"/>
          <w:left w:w="0" w:type="dxa"/>
          <w:bottom w:w="0" w:type="dxa"/>
          <w:right w:w="0" w:type="dxa"/>
        </w:tblCellMar>
      </w:tblP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The date of this prospectus is</w:t>
            </w:r>
          </w:p>
        </w:tc>
        <w:tc>
          <w:tcPr>
            <w:tcW w:w="700" w:type="dxa"/>
            <w:vAlign w:val="bottom"/>
          </w:tcPr>
          <w:p>
            <w:pPr>
              <w:jc w:val="right"/>
              <w:spacing w:after="0"/>
              <w:rPr>
                <w:sz w:val="20"/>
                <w:szCs w:val="20"/>
                <w:color w:val="auto"/>
              </w:rPr>
            </w:pPr>
            <w:r>
              <w:rPr>
                <w:rFonts w:ascii="Arial" w:cs="Arial" w:eastAsia="Arial" w:hAnsi="Arial"/>
                <w:sz w:val="16"/>
                <w:szCs w:val="16"/>
                <w:color w:val="auto"/>
              </w:rPr>
              <w:t>, 2023</w:t>
            </w: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0640" w:type="dxa"/>
            <w:vAlign w:val="bottom"/>
            <w:gridSpan w:val="31"/>
            <w:vMerge w:val="restart"/>
          </w:tcPr>
          <w:p>
            <w:pPr>
              <w:spacing w:after="0"/>
              <w:rPr>
                <w:sz w:val="20"/>
                <w:szCs w:val="20"/>
                <w:color w:val="auto"/>
              </w:rPr>
            </w:pPr>
            <w:r>
              <w:rPr>
                <w:rFonts w:ascii="Arial" w:cs="Arial" w:eastAsia="Arial" w:hAnsi="Arial"/>
                <w:sz w:val="18"/>
                <w:szCs w:val="18"/>
                <w:b w:val="1"/>
                <w:bCs w:val="1"/>
                <w:color w:val="0000EE"/>
              </w:rPr>
              <w:t>ABOUT THIS PROSPECTUS</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56"/>
        </w:trPr>
        <w:tc>
          <w:tcPr>
            <w:tcW w:w="10640" w:type="dxa"/>
            <w:vAlign w:val="bottom"/>
            <w:gridSpan w:val="31"/>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8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b w:val="1"/>
                <w:bCs w:val="1"/>
                <w:color w:val="0000EE"/>
              </w:rPr>
              <w:t>NOTE REGARDING TRADEMARKS, TRADENAMES AND SERVICE MARKS</w:t>
            </w:r>
          </w:p>
        </w:tc>
        <w:tc>
          <w:tcPr>
            <w:tcW w:w="4260" w:type="dxa"/>
            <w:vAlign w:val="bottom"/>
            <w:gridSpan w:val="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PRESENTATION OF FINANCIAL AND OTHER INFORMATION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304"/>
        </w:trPr>
        <w:tc>
          <w:tcPr>
            <w:tcW w:w="30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b w:val="1"/>
                <w:bCs w:val="1"/>
                <w:color w:val="0000EE"/>
                <w:w w:val="99"/>
              </w:rPr>
              <w:t>NON-GAAP FINANCIAL MEASURES</w:t>
            </w:r>
          </w:p>
        </w:tc>
        <w:tc>
          <w:tcPr>
            <w:tcW w:w="2160" w:type="dxa"/>
            <w:vAlign w:val="bottom"/>
            <w:tcBorders>
              <w:top w:val="single" w:sz="8" w:color="0000EE"/>
            </w:tcBorders>
            <w:gridSpan w:val="8"/>
          </w:tcPr>
          <w:p>
            <w:pPr>
              <w:spacing w:after="0"/>
              <w:rPr>
                <w:sz w:val="24"/>
                <w:szCs w:val="24"/>
                <w:color w:val="auto"/>
              </w:rPr>
            </w:pPr>
          </w:p>
        </w:tc>
        <w:tc>
          <w:tcPr>
            <w:tcW w:w="5400" w:type="dxa"/>
            <w:vAlign w:val="bottom"/>
            <w:gridSpan w:val="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INDUSTRY AND MARKET DATA</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8"/>
              </w:rPr>
              <w:t>GLOSSARY OF CERTAIN TERMS</w:t>
            </w:r>
          </w:p>
        </w:tc>
        <w:tc>
          <w:tcPr>
            <w:tcW w:w="7820" w:type="dxa"/>
            <w:vAlign w:val="bottom"/>
            <w:gridSpan w:val="1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iv</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PROSPECTUS SUMMARY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04"/>
        </w:trPr>
        <w:tc>
          <w:tcPr>
            <w:tcW w:w="13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rPr>
              <w:t>THE OFFERING</w:t>
            </w:r>
          </w:p>
        </w:tc>
        <w:tc>
          <w:tcPr>
            <w:tcW w:w="800" w:type="dxa"/>
            <w:vAlign w:val="bottom"/>
            <w:tcBorders>
              <w:top w:val="single" w:sz="8" w:color="0000EE"/>
            </w:tcBorders>
            <w:gridSpan w:val="6"/>
          </w:tcPr>
          <w:p>
            <w:pPr>
              <w:spacing w:after="0"/>
              <w:rPr>
                <w:sz w:val="24"/>
                <w:szCs w:val="24"/>
                <w:color w:val="auto"/>
              </w:rPr>
            </w:pPr>
          </w:p>
        </w:tc>
        <w:tc>
          <w:tcPr>
            <w:tcW w:w="8460" w:type="dxa"/>
            <w:vAlign w:val="bottom"/>
            <w:gridSpan w:val="2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SUMMARY FINANCIAL DATA</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304"/>
        </w:trPr>
        <w:tc>
          <w:tcPr>
            <w:tcW w:w="254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0000EE"/>
              </w:rPr>
              <w:t>RISK FACTORS</w:t>
            </w:r>
          </w:p>
        </w:tc>
        <w:tc>
          <w:tcPr>
            <w:tcW w:w="8100" w:type="dxa"/>
            <w:vAlign w:val="bottom"/>
            <w:gridSpan w:val="20"/>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b w:val="1"/>
                <w:bCs w:val="1"/>
                <w:color w:val="0000EE"/>
                <w:w w:val="99"/>
              </w:rPr>
              <w:t>SPECIAL NOTE REGARDING FORWARD-LOOKING STATEMENTS</w:t>
            </w:r>
          </w:p>
        </w:tc>
        <w:tc>
          <w:tcPr>
            <w:tcW w:w="4980" w:type="dxa"/>
            <w:vAlign w:val="bottom"/>
            <w:gridSpan w:val="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304"/>
        </w:trPr>
        <w:tc>
          <w:tcPr>
            <w:tcW w:w="16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5"/>
              </w:rPr>
              <w:t>USE OF PROCEEDS</w:t>
            </w:r>
          </w:p>
        </w:tc>
        <w:tc>
          <w:tcPr>
            <w:tcW w:w="8960" w:type="dxa"/>
            <w:vAlign w:val="bottom"/>
            <w:gridSpan w:val="2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304"/>
        </w:trPr>
        <w:tc>
          <w:tcPr>
            <w:tcW w:w="16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rPr>
              <w:t>DIVIDEND POLICY</w:t>
            </w:r>
          </w:p>
        </w:tc>
        <w:tc>
          <w:tcPr>
            <w:tcW w:w="8980" w:type="dxa"/>
            <w:vAlign w:val="bottom"/>
            <w:gridSpan w:val="2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CORPORATE REORGANIZATION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304"/>
        </w:trPr>
        <w:tc>
          <w:tcPr>
            <w:tcW w:w="15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rPr>
              <w:t>CAPITALIZATION</w:t>
            </w:r>
          </w:p>
        </w:tc>
        <w:tc>
          <w:tcPr>
            <w:tcW w:w="1300" w:type="dxa"/>
            <w:vAlign w:val="bottom"/>
            <w:tcBorders>
              <w:top w:val="single" w:sz="8" w:color="0000EE"/>
            </w:tcBorders>
            <w:gridSpan w:val="8"/>
          </w:tcPr>
          <w:p>
            <w:pPr>
              <w:spacing w:after="0"/>
              <w:rPr>
                <w:sz w:val="24"/>
                <w:szCs w:val="24"/>
                <w:color w:val="auto"/>
              </w:rPr>
            </w:pPr>
          </w:p>
        </w:tc>
        <w:tc>
          <w:tcPr>
            <w:tcW w:w="7780" w:type="dxa"/>
            <w:vAlign w:val="bottom"/>
            <w:gridSpan w:val="17"/>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304"/>
        </w:trPr>
        <w:tc>
          <w:tcPr>
            <w:tcW w:w="930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b w:val="1"/>
                <w:bCs w:val="1"/>
                <w:color w:val="0000EE"/>
                <w:w w:val="99"/>
              </w:rPr>
              <w:t>MANAGEMENT’S DISCUSSION AND ANALYSIS OF FINANCIAL CONDITION AND RESULTS OF OPERATIONS</w:t>
            </w:r>
          </w:p>
        </w:tc>
        <w:tc>
          <w:tcPr>
            <w:tcW w:w="134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BUSINESS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101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b w:val="1"/>
                <w:bCs w:val="1"/>
                <w:color w:val="0000EE"/>
              </w:rPr>
              <w:t>MANAGEMENT AND EXECUTIVE REMUNERATION</w:t>
            </w:r>
          </w:p>
        </w:tc>
        <w:tc>
          <w:tcPr>
            <w:tcW w:w="6180" w:type="dxa"/>
            <w:vAlign w:val="bottom"/>
            <w:gridSpan w:val="9"/>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123</w:t>
            </w:r>
          </w:p>
        </w:tc>
        <w:tc>
          <w:tcPr>
            <w:tcW w:w="0" w:type="dxa"/>
            <w:vAlign w:val="bottom"/>
          </w:tcPr>
          <w:p>
            <w:pPr>
              <w:spacing w:after="0"/>
              <w:rPr>
                <w:sz w:val="1"/>
                <w:szCs w:val="1"/>
                <w:color w:val="auto"/>
              </w:rPr>
            </w:pPr>
          </w:p>
        </w:tc>
      </w:tr>
      <w:tr>
        <w:trPr>
          <w:trHeight w:val="304"/>
        </w:trPr>
        <w:tc>
          <w:tcPr>
            <w:tcW w:w="29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b w:val="1"/>
                <w:bCs w:val="1"/>
                <w:color w:val="0000EE"/>
                <w:w w:val="98"/>
              </w:rPr>
              <w:t>RELATED PARTY TRANSACTIONS</w:t>
            </w:r>
          </w:p>
        </w:tc>
        <w:tc>
          <w:tcPr>
            <w:tcW w:w="7660" w:type="dxa"/>
            <w:vAlign w:val="bottom"/>
            <w:gridSpan w:val="1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141</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PRINCIPAL AND SELLING SHAREHOLDERS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144</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2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b w:val="1"/>
                <w:bCs w:val="1"/>
                <w:color w:val="0000EE"/>
                <w:w w:val="99"/>
              </w:rPr>
              <w:t>DESCRIPTION OF SHARE CAPITAL AND ARTICLES OF ASSOCIATION</w:t>
            </w:r>
          </w:p>
        </w:tc>
        <w:tc>
          <w:tcPr>
            <w:tcW w:w="4620" w:type="dxa"/>
            <w:vAlign w:val="bottom"/>
            <w:gridSpan w:val="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146</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DESCRIPTION OF AMERICAN DEPOSITARY SHARES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167</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ORDINARY SHARES AND ADSs ELIGIBLE FOR FUTURE SALE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178</w:t>
            </w:r>
          </w:p>
        </w:tc>
        <w:tc>
          <w:tcPr>
            <w:tcW w:w="0" w:type="dxa"/>
            <w:vAlign w:val="bottom"/>
          </w:tcPr>
          <w:p>
            <w:pPr>
              <w:spacing w:after="0"/>
              <w:rPr>
                <w:sz w:val="1"/>
                <w:szCs w:val="1"/>
                <w:color w:val="auto"/>
              </w:rPr>
            </w:pPr>
          </w:p>
        </w:tc>
      </w:tr>
      <w:tr>
        <w:trPr>
          <w:trHeight w:val="304"/>
        </w:trPr>
        <w:tc>
          <w:tcPr>
            <w:tcW w:w="30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b w:val="1"/>
                <w:bCs w:val="1"/>
                <w:color w:val="0000EE"/>
              </w:rPr>
              <w:t>MATERIAL TAX CONSIDERATIONS</w:t>
            </w:r>
          </w:p>
        </w:tc>
        <w:tc>
          <w:tcPr>
            <w:tcW w:w="2240" w:type="dxa"/>
            <w:vAlign w:val="bottom"/>
            <w:tcBorders>
              <w:top w:val="single" w:sz="8" w:color="0000EE"/>
            </w:tcBorders>
            <w:gridSpan w:val="10"/>
          </w:tcPr>
          <w:p>
            <w:pPr>
              <w:spacing w:after="0"/>
              <w:rPr>
                <w:sz w:val="24"/>
                <w:szCs w:val="24"/>
                <w:color w:val="auto"/>
              </w:rPr>
            </w:pPr>
          </w:p>
        </w:tc>
        <w:tc>
          <w:tcPr>
            <w:tcW w:w="5340" w:type="dxa"/>
            <w:vAlign w:val="bottom"/>
            <w:gridSpan w:val="5"/>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180</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UNDERWRITING</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189</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1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EXPENSES RELATED TO THE OFFERING</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196</w:t>
            </w:r>
          </w:p>
        </w:tc>
        <w:tc>
          <w:tcPr>
            <w:tcW w:w="0" w:type="dxa"/>
            <w:vAlign w:val="bottom"/>
          </w:tcPr>
          <w:p>
            <w:pPr>
              <w:spacing w:after="0"/>
              <w:rPr>
                <w:sz w:val="1"/>
                <w:szCs w:val="1"/>
                <w:color w:val="auto"/>
              </w:rPr>
            </w:pPr>
          </w:p>
        </w:tc>
      </w:tr>
      <w:tr>
        <w:trPr>
          <w:trHeight w:val="304"/>
        </w:trPr>
        <w:tc>
          <w:tcPr>
            <w:tcW w:w="354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0000EE"/>
              </w:rPr>
              <w:t>LEGAL MATTERS</w:t>
            </w:r>
          </w:p>
        </w:tc>
        <w:tc>
          <w:tcPr>
            <w:tcW w:w="7100" w:type="dxa"/>
            <w:vAlign w:val="bottom"/>
            <w:gridSpan w:val="11"/>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197</w:t>
            </w:r>
          </w:p>
        </w:tc>
        <w:tc>
          <w:tcPr>
            <w:tcW w:w="0" w:type="dxa"/>
            <w:vAlign w:val="bottom"/>
          </w:tcPr>
          <w:p>
            <w:pPr>
              <w:spacing w:after="0"/>
              <w:rPr>
                <w:sz w:val="1"/>
                <w:szCs w:val="1"/>
                <w:color w:val="auto"/>
              </w:rPr>
            </w:pPr>
          </w:p>
        </w:tc>
      </w:tr>
      <w:tr>
        <w:trPr>
          <w:trHeight w:val="304"/>
        </w:trPr>
        <w:tc>
          <w:tcPr>
            <w:tcW w:w="8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b w:val="1"/>
                <w:bCs w:val="1"/>
                <w:color w:val="0000EE"/>
                <w:w w:val="97"/>
              </w:rPr>
              <w:t>EXPERTS</w:t>
            </w:r>
          </w:p>
        </w:tc>
        <w:tc>
          <w:tcPr>
            <w:tcW w:w="680" w:type="dxa"/>
            <w:vAlign w:val="bottom"/>
            <w:tcBorders>
              <w:top w:val="single" w:sz="8" w:color="0000EE"/>
            </w:tcBorders>
            <w:gridSpan w:val="4"/>
          </w:tcPr>
          <w:p>
            <w:pPr>
              <w:spacing w:after="0"/>
              <w:rPr>
                <w:sz w:val="24"/>
                <w:szCs w:val="24"/>
                <w:color w:val="auto"/>
              </w:rPr>
            </w:pPr>
          </w:p>
        </w:tc>
        <w:tc>
          <w:tcPr>
            <w:tcW w:w="9100" w:type="dxa"/>
            <w:vAlign w:val="bottom"/>
            <w:gridSpan w:val="2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197</w:t>
            </w:r>
          </w:p>
        </w:tc>
        <w:tc>
          <w:tcPr>
            <w:tcW w:w="0" w:type="dxa"/>
            <w:vAlign w:val="bottom"/>
          </w:tcPr>
          <w:p>
            <w:pPr>
              <w:spacing w:after="0"/>
              <w:rPr>
                <w:sz w:val="1"/>
                <w:szCs w:val="1"/>
                <w:color w:val="auto"/>
              </w:rPr>
            </w:pPr>
          </w:p>
        </w:tc>
      </w:tr>
      <w:tr>
        <w:trPr>
          <w:trHeight w:val="304"/>
        </w:trPr>
        <w:tc>
          <w:tcPr>
            <w:tcW w:w="34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b w:val="1"/>
                <w:bCs w:val="1"/>
                <w:color w:val="0000EE"/>
              </w:rPr>
              <w:t>ENFORCEMENT OF CIVIL LIABILITIES</w:t>
            </w:r>
          </w:p>
        </w:tc>
        <w:tc>
          <w:tcPr>
            <w:tcW w:w="7200" w:type="dxa"/>
            <w:vAlign w:val="bottom"/>
            <w:gridSpan w:val="1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198</w:t>
            </w:r>
          </w:p>
        </w:tc>
        <w:tc>
          <w:tcPr>
            <w:tcW w:w="0" w:type="dxa"/>
            <w:vAlign w:val="bottom"/>
          </w:tcPr>
          <w:p>
            <w:pPr>
              <w:spacing w:after="0"/>
              <w:rPr>
                <w:sz w:val="1"/>
                <w:szCs w:val="1"/>
                <w:color w:val="auto"/>
              </w:rPr>
            </w:pPr>
          </w:p>
        </w:tc>
      </w:tr>
      <w:tr>
        <w:trPr>
          <w:trHeight w:val="304"/>
        </w:trPr>
        <w:tc>
          <w:tcPr>
            <w:tcW w:w="46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b w:val="1"/>
                <w:bCs w:val="1"/>
                <w:color w:val="0000EE"/>
              </w:rPr>
              <w:t>WHERE YOU CAN FIND ADDITIONAL INFORMATION</w:t>
            </w:r>
          </w:p>
        </w:tc>
        <w:tc>
          <w:tcPr>
            <w:tcW w:w="6000" w:type="dxa"/>
            <w:vAlign w:val="bottom"/>
            <w:gridSpan w:val="7"/>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199</w:t>
            </w:r>
          </w:p>
        </w:tc>
        <w:tc>
          <w:tcPr>
            <w:tcW w:w="0" w:type="dxa"/>
            <w:vAlign w:val="bottom"/>
          </w:tcPr>
          <w:p>
            <w:pPr>
              <w:spacing w:after="0"/>
              <w:rPr>
                <w:sz w:val="1"/>
                <w:szCs w:val="1"/>
                <w:color w:val="auto"/>
              </w:rPr>
            </w:pPr>
          </w:p>
        </w:tc>
      </w:tr>
      <w:tr>
        <w:trPr>
          <w:trHeight w:val="304"/>
        </w:trPr>
        <w:tc>
          <w:tcPr>
            <w:tcW w:w="32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b w:val="1"/>
                <w:bCs w:val="1"/>
                <w:color w:val="0000EE"/>
              </w:rPr>
              <w:t>INDEX TO FINANCIAL STATEMENTS</w:t>
            </w:r>
          </w:p>
        </w:tc>
        <w:tc>
          <w:tcPr>
            <w:tcW w:w="7440" w:type="dxa"/>
            <w:vAlign w:val="bottom"/>
            <w:gridSpan w:val="1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F-1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b w:val="1"/>
          <w:bCs w:val="1"/>
          <w:color w:val="auto"/>
        </w:rPr>
        <w:t>Neither we, the selling shareholders nor the underwriters have authorized anyone to provide you with information that is different from that contained in this prospectus or in any free writing prospectus we may authorize to be delivered or made available to you. Neither we, the selling shareholders nor the underwriters take any responsibility for, or provide any assurance as to the reliability of, any other information that others may give you. We, the selling shareholders and the underwriters are offering to sell ADSs and seeking offers to purchase ADSs only in the United States and certain other jurisdictions where offers and sales are permitted. The information contained in this prospectus is accurate only as of the date on the cover page of this prospectus, regardless of the time of delivery of this prospectus or any sale of ADSs.</w:t>
      </w:r>
    </w:p>
    <w:p>
      <w:pPr>
        <w:spacing w:after="0" w:line="16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For investors outside the United States: Neither we, the selling shareholders nor any of the underwriters have taken any action to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6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are incorporated under the laws of England and Wales and a majority of our outstanding securities is owned by non-U.S. residents. Under the rules of the U.S. Securities and Exchange Commission (the “SEC”), we are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Prior to the completion of this offering, we underwent a corporate reorganization described under the section titled “Corporate Reorganization,” pursuant to which Arm Limited became a wholly owned subsidiary of Arm Holdings Limited, a holding company with nominal assets and no liabilities, contingencies, or commitments, which has not conducted any operations prior to this offering other than acquiring the entire issued share capital of Arm Limited. Prior to the completion of this offering, we intend to re-register Arm Holdings Limited as a public limited company and to change its name from Arm Holdings Limited to Arm Holdings plc.</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Unless otherwise indicated or the context otherwise requires, in this prospectus, “Arm,” the “company,” “we,” “us” and “our” refer to (i) Arm Limited and its consolidated subsidiaries prior to the completion of our corporate reorganization, (ii) Arm Holdings Limited and its consolidated subsidiaries after the completion of our corporate reorganization and prior to the re-registration of Arm Holdings Limited as a public limited company and (iii) Arm Holdings plc and its consolidated subsidiaries after the re-registration of Arm Holdings Limited as a public limited company. See “Corporate Reorganization” and “Description of Share Capital and Articles of Association.”</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REGARDING TRADEMARKS, TRADENAMES AND SERVICE MARKS</w:t>
      </w:r>
    </w:p>
    <w:p>
      <w:pPr>
        <w:spacing w:after="0" w:line="22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This prospectus includes trademarks, tradenames and service marks, certain of which belong to us and others that are the property of other organizations. Solely for convenience, trademarks, tradenames and service marks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tradenames or service marks to imply, and such use or display should not be construed to imply, a relationship with, or endorsement or sponsorship of us by, these other parties.</w:t>
      </w:r>
    </w:p>
    <w:p>
      <w:pPr>
        <w:spacing w:after="0" w:line="13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left="120" w:right="820" w:firstLine="440"/>
        <w:spacing w:after="0" w:line="342" w:lineRule="auto"/>
        <w:rPr>
          <w:sz w:val="20"/>
          <w:szCs w:val="20"/>
          <w:color w:val="auto"/>
        </w:rPr>
      </w:pPr>
      <w:r>
        <w:rPr>
          <w:rFonts w:ascii="Arial" w:cs="Arial" w:eastAsia="Arial" w:hAnsi="Arial"/>
          <w:sz w:val="16"/>
          <w:szCs w:val="16"/>
          <w:color w:val="auto"/>
        </w:rPr>
        <w:t>Our fiscal year ends on March 31 of each year. We prepare our consolidated financial statements in accordance with generally accepted accounting principles in the United States (“GAAP”). We present our consolidated financial statements in United States Dollars (“USD”).</w:t>
      </w:r>
    </w:p>
    <w:p>
      <w:pPr>
        <w:spacing w:after="0" w:line="124"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We have historically conducted our business through Arm Limited, and therefore, our historical consolidated financial statements present the consolidated results of operations of Arm Limited and its subsidiaries. The consolidated financial statements included in this prospectus do not give effect to our corporate reorganization described in the section titled “Corporate Reorganization.”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financial information contained in this prospectus does not amount to statutory accounts within the meaning of section 434(3) of the U.K.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Companies Act 2006 (the “Companies Act”).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This prospectus contains certain financial measures that are not presented in accordance with GAAP, including Non-GAAP operating income, Non-GAAP net income from continuing operations and Non-GAAP free cash flow, that are not required by, or prepared in accordance with, GAAP. We refer to these measures as “non-GAAP financial measures.” See “Management’s Discussion and Analysis of Financial Condition and Results of Operations—Key Financial and Operating Metrics—Non-GAAP Financial Measures” for our definitions of these Non-GAAP financial measures, information about how and why we use these non-GAAP financial measures and a reconciliation of each of these non-GAAP financial measures to its most directly comparable financial measure calculated in accordance with GAAP.</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products, including, but not limited to, our general expectations and market position, market opportunity and market size.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and general publications, government data and similar sources. While we are responsible for the accuracy of such information and believe our internal company research as to such matters is reliable and the market definitions are appropriate, neither such research nor these definitions have been verified by any independent source.</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See “Special Note Regarding Forward-Looking Statements.”</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GLOSSARY OF CERTAIN TERMS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abbreviations, acronyms and definitions of certain terms used in this document:</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“ADAS” means advanced driver assistance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“AFA” means Arm Flexible Access, a type of license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 means artificial intelligence.</w:t>
      </w:r>
    </w:p>
    <w:p>
      <w:pPr>
        <w:spacing w:after="0" w:line="130" w:lineRule="exact"/>
        <w:rPr>
          <w:rFonts w:ascii="Arial" w:cs="Arial" w:eastAsia="Arial" w:hAnsi="Arial"/>
          <w:sz w:val="18"/>
          <w:szCs w:val="18"/>
          <w:color w:val="auto"/>
        </w:rPr>
      </w:pPr>
    </w:p>
    <w:p>
      <w:pPr>
        <w:ind w:left="1080" w:right="34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“Arm China” means Arm Technology (China) Co. Ltd, an entity that operates independently of us and is our single largest customer. Acetone Limited, an entity controlled by SoftBank and in which we own a 10% non-voting interest, owns approximately 48% of Arm China. Our 10% non-voting interest in Acetone Limited represents an approximate 4.8% indirect ownership interest in Arm China.</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“Armv9” means the ninth version of the Arm instruction set architecture.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“Articles” means our articles of association to be in place upon completion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“ASP” means average selling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“ATA” means Arm Total Access, a type of license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 means consumer electronics.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“Citibank” means Citibank, N.A., which will serve as the depositary for the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“CPU” means a central processing unit, which executes the instructions of a computer program.</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 win” means a customer has chosen to use Arm products in a certain future chip design, including future chip designs under existing license agreements.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“EDA” means electronic design automation, a category of software tools for designing electronic systems such as integrated circuits and printed circuit boards.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“embedded” means embedded processors, which are processors used in embedded systems such as industrial automation, sensors, signage and transportation, and home appliances, among other things.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“GPU” means a graphics processing unit, which is used to accelerate the display of complex graphics onto a screen and can also be used for other mathematical applications.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“IC” means integrated circuit.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“IoT” means Internet of Things.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“IP” means intellectual property.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“IPLA” means our intellectual property license agreement with Arm China, pursuant to which, among other things, we granted Arm China certain exclusive rights to sublicense our IP to PRC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“ISA” means instruction set architecture, which specifies how software running on a CPU will behave.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“IVI” means in-vehicle-infotainment.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“ML” means machine learning.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“NFC” means near field communication.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“NPU” means a neural processing unit, which specializes in the acceleration of ML algorithms.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“OEM” means an original equipment manufacturer.</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“open-source” means software or hardware design that is released under a license in which the copyright holder grants users the rights to use, study, modify or distribute the computer software or hardware design and its source code on the condition that other software using, incorporating, linking, integrating or bundling with such software be disclosed or distributed in source code form, licensed for the purpose of making derivative works or redistributable at no charge.</w:t>
      </w:r>
    </w:p>
    <w:p>
      <w:pPr>
        <w:spacing w:after="0" w:line="1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4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“Physical IP” means the physical IP components used in the process of translating a design of complex SoC integrated circuits into a manufactured chip.</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“PRC” means, for the purpose of this prospectus, the People’s Republic of China, including the Hong Kong Special Administrative Region and the Macau Special Administrative Region, but excluding Taiwan.</w:t>
      </w:r>
    </w:p>
    <w:p>
      <w:pPr>
        <w:spacing w:after="0" w:line="75"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“RAND” means reasonable and non-discriminatory, which typically is used to describe a voluntary licensing commitment that standards-setting organizations often request from the owner of an IP right that is, or may become, essential to practice a technical standard.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“RISC” means reduced instruction set computer.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“SmartNICs” means smart network interface cards.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“System IP” means components used in an SoC design, other than the CPU, GPU, </w:t>
      </w:r>
      <w:r>
        <w:rPr>
          <w:rFonts w:ascii="Arial" w:cs="Arial" w:eastAsia="Arial" w:hAnsi="Arial"/>
          <w:sz w:val="18"/>
          <w:szCs w:val="18"/>
          <w:i w:val="1"/>
          <w:iCs w:val="1"/>
          <w:color w:val="auto"/>
        </w:rPr>
        <w:t>etc.</w:t>
      </w:r>
      <w:r>
        <w:rPr>
          <w:rFonts w:ascii="Arial" w:cs="Arial" w:eastAsia="Arial" w:hAnsi="Arial"/>
          <w:sz w:val="18"/>
          <w:szCs w:val="18"/>
          <w:color w:val="auto"/>
        </w:rPr>
        <w:t>, such as interfaces to external components and on-chip interconnects that bridge functional components within the SoC.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 on Chip” or “SoC” means an integrated circuit that combines multiple functional blocks together in a single chip.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“TLA” means Technology License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“x86” means the x86 family of complex ISAs.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00"/>
          </w:cols>
          <w:pgMar w:left="320" w:top="459"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96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This summary highlights certain information contained elsewhere in this prospectus. This summary may not, and does not purport to, contain all the information that may be important to you, and we urge you to read this entire prospectus carefully, including the “Risk Factors,” “Special Note Regarding Forward-Looking Statements,” “Business” and “Management’s Discussion and Analysis of Financial Condition and Results of Operations” sections and the consolidated financial statements of Arm Limited and the notes to those statements, included elsewhere in this prospectus, before deciding to invest in the ADSs.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North Star</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Building the future of computing, on Arm. Together. For everyone.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Arm is defining the future of computing. Semiconductor technology has become one of the world’s most critical resources as it enables all electronic devices today. At the heart of these devices is the CPU, and Arm is the industry leader of CPUs. We architect, develop, and license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as of January 2023, and more than 250 billion chips, cumulatively, powering everything from the tiniest of sensors to the most powerful supercomputers. 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We estimate that approximately 70% of the world’s population uses Arm-based products, and the scale of Arm’s reach continues to expand, with more than 30 billion Arm-based chips reported as shipped in the fiscal year ended March 31, 2023 alone.</w:t>
      </w:r>
    </w:p>
    <w:p>
      <w:pPr>
        <w:spacing w:after="0" w:line="185" w:lineRule="exact"/>
        <w:rPr>
          <w:sz w:val="20"/>
          <w:szCs w:val="20"/>
          <w:color w:val="auto"/>
        </w:rPr>
      </w:pPr>
    </w:p>
    <w:p>
      <w:pPr>
        <w:ind w:left="300" w:right="100" w:firstLine="426"/>
        <w:spacing w:after="0" w:line="270" w:lineRule="auto"/>
        <w:rPr>
          <w:sz w:val="20"/>
          <w:szCs w:val="20"/>
          <w:color w:val="auto"/>
        </w:rPr>
      </w:pPr>
      <w:r>
        <w:rPr>
          <w:rFonts w:ascii="Arial" w:cs="Arial" w:eastAsia="Arial" w:hAnsi="Arial"/>
          <w:sz w:val="17"/>
          <w:szCs w:val="17"/>
          <w:color w:val="auto"/>
        </w:rPr>
        <w:t>Today, any company can make a modern computer chip through the unique combination of our energy efficient CPU IP and related technologies and our unmatched ecosystem of technology partners, and do it cost effectively with our flexible business model. Each CPU product can be licensed to multiple companies, leading to economies of scale that allow us to charge each licensee only a fraction of what it would cost them to develop internally, while minimizing their risk and time-to-market. With the complexity of CPU design increasing exponentially over the past decade, no company has successfully designed a modern CPU from scratch. We have been innovating at the forefront of compute technology for decades and have established important relationships with the companies driving the future of computing across multiple industries. More than 260 companies reported that they had shipped Arm-based chips in the fiscal year ended March 31, 2023, and our customers include the largest technology companies globally, major semiconductor chip vendors, automotive industry incumbents, including leading auto suppliers, IoT innovators, and more.</w:t>
      </w:r>
    </w:p>
    <w:p>
      <w:pPr>
        <w:spacing w:after="0" w:line="18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The exponential rise in smart devices in both consumer and enterprise markets has increased the demand for chips that provide more computational capability while optimizing power efficiency. Thirty years ago, the PC was the only computer with which most people would interact at home, work, or school. Then, mobile phones became computers in our pockets and digital TVs became computers in our living rooms. Now, vehicles are effectively computers on wheels, and servers and networking equipment are the computers that connect all these devices and services together. Additionally, there are billions of tiny low-cost devices—from sensors to electric motor controllers—that are now functionally computers, as well. Each of these computers needs at least one CPU and in many cases more than one. This trend has driven the dramatic growth of Arm-based chips over the past several years.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59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312" w:lineRule="exact"/>
        <w:rPr>
          <w:sz w:val="20"/>
          <w:szCs w:val="20"/>
          <w:color w:val="auto"/>
        </w:rPr>
      </w:pPr>
    </w:p>
    <w:p>
      <w:pPr>
        <w:ind w:left="300" w:right="120" w:firstLine="426"/>
        <w:spacing w:after="0" w:line="272" w:lineRule="auto"/>
        <w:rPr>
          <w:sz w:val="20"/>
          <w:szCs w:val="20"/>
          <w:color w:val="auto"/>
        </w:rPr>
      </w:pPr>
      <w:r>
        <w:rPr>
          <w:rFonts w:ascii="Arial" w:cs="Arial" w:eastAsia="Arial" w:hAnsi="Arial"/>
          <w:sz w:val="17"/>
          <w:szCs w:val="17"/>
          <w:color w:val="auto"/>
        </w:rPr>
        <w:t>We have enabled the mobile phone and smartphone revolution and our creation of the Arm CPU architecture, the world’s most widely used CPU architecture, has resulted in the proliferation and evolution of computers as people know them today, advancing a paradigm of increasing compute performance coupled with industry-leading power efficiency. Through our focus on energy efficiency and our history of continuous innovation, we have enabled new categories of “smart” consumer electronics and are redefining what is possible in industries such as cloud computing, automotive, and IoT. Today, efficiency is not only important for business, but it is also a critical component in achieving sustainability for our planet. This makes Arm CPU technology ideal for current and future computing applications as the demands for compute performance are growing exponentially while the need for low power and efficiency remains critical.</w:t>
      </w:r>
    </w:p>
    <w:p>
      <w:pPr>
        <w:spacing w:after="0" w:line="177" w:lineRule="exact"/>
        <w:rPr>
          <w:sz w:val="20"/>
          <w:szCs w:val="20"/>
          <w:color w:val="auto"/>
        </w:rPr>
      </w:pPr>
    </w:p>
    <w:p>
      <w:pPr>
        <w:ind w:left="300" w:right="60" w:firstLine="426"/>
        <w:spacing w:after="0" w:line="296" w:lineRule="auto"/>
        <w:rPr>
          <w:sz w:val="20"/>
          <w:szCs w:val="20"/>
          <w:color w:val="auto"/>
        </w:rPr>
      </w:pPr>
      <w:r>
        <w:rPr>
          <w:rFonts w:ascii="Arial" w:cs="Arial" w:eastAsia="Arial" w:hAnsi="Arial"/>
          <w:sz w:val="16"/>
          <w:szCs w:val="16"/>
          <w:color w:val="auto"/>
        </w:rPr>
        <w:t xml:space="preserve">Every CPU has an ISA, which defines the software instructions that can be executed by the CPU, essentially the </w:t>
      </w:r>
      <w:r>
        <w:rPr>
          <w:rFonts w:ascii="Arial" w:cs="Arial" w:eastAsia="Arial" w:hAnsi="Arial"/>
          <w:sz w:val="16"/>
          <w:szCs w:val="16"/>
          <w:i w:val="1"/>
          <w:iCs w:val="1"/>
          <w:color w:val="auto"/>
        </w:rPr>
        <w:t>lingua franca</w:t>
      </w:r>
      <w:r>
        <w:rPr>
          <w:rFonts w:ascii="Arial" w:cs="Arial" w:eastAsia="Arial" w:hAnsi="Arial"/>
          <w:sz w:val="16"/>
          <w:szCs w:val="16"/>
          <w:color w:val="auto"/>
        </w:rPr>
        <w:t xml:space="preserve"> for software developers to use. The ISA sets the foundation for a large library of compatible software which runs on those CPUs. As the Arm CPU is the most popular and pervasive CPU in history, the Arm ISA is also the most popular and pervasive ISA in history. This means that Arm-based chips have a global community of software developers familiar with how to program the CPU. Chip designers utilizing the Arm CPU can add desired functionality (Wi-Fi connectivity, image processing, video processing, </w:t>
      </w:r>
      <w:r>
        <w:rPr>
          <w:rFonts w:ascii="Arial" w:cs="Arial" w:eastAsia="Arial" w:hAnsi="Arial"/>
          <w:sz w:val="16"/>
          <w:szCs w:val="16"/>
          <w:i w:val="1"/>
          <w:iCs w:val="1"/>
          <w:color w:val="auto"/>
        </w:rPr>
        <w:t>etc.</w:t>
      </w:r>
      <w:r>
        <w:rPr>
          <w:rFonts w:ascii="Arial" w:cs="Arial" w:eastAsia="Arial" w:hAnsi="Arial"/>
          <w:sz w:val="16"/>
          <w:szCs w:val="16"/>
          <w:color w:val="auto"/>
        </w:rPr>
        <w:t>) to create an SoC to meet the needs of any end market.</w:t>
      </w:r>
    </w:p>
    <w:p>
      <w:pPr>
        <w:spacing w:after="0" w:line="161"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Beyond our product offerings, our development tools and robust software ecosystem have further solidified our position as the world’s most widely adopted processor architecture and have created a virtuous cycle of adoption, meaning that more chips have been based on Arm technology than any other compute architecture in the world, making Arm the foundation for software developers globally.</w:t>
      </w:r>
    </w:p>
    <w:p>
      <w:pPr>
        <w:spacing w:after="0" w:line="192"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This combination of pervasiveness and ease of portability has resulted in our CPU designs having the world’s richest software ecosystem, built in partnership with the leading operating systems providers, software tools and game engine vendors, and application developers. We also support a flourishing ecosystem of third-party tool vendors for embedded software and a vibrant IoT ecosystem. Open-source software plays a vital role in the success of Arm-based chips, and we are committed to contributing to open-source software and tools to ensure our offerings are optimized for the latest technologies.</w:t>
      </w:r>
    </w:p>
    <w:p>
      <w:pPr>
        <w:spacing w:after="0" w:line="188"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As the world moves increasingly towards AI- and ML-enabled computing, Arm will be central to this transition. Arm CPUs already run AI and ML workloads in billions of devices, including smartphones, cameras, and digital TVs. The CPU is vital in all AI systems, whether it is handling the AI workload entirely or in combination with a co-processor, such as a GPU or an NPU. In the emerging area of large language models, generative AI and autonomous driving, there will be heightened emphasis on the low power acceleration of these algorithms. In our latest ISA, CPUs, and GPUs, we have added new functionality and instructions to accelerate future AI and ML algorithms.</w:t>
      </w:r>
    </w:p>
    <w:p>
      <w:pPr>
        <w:spacing w:after="0" w:line="176"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Arm had 5,963 full-time employees across North America, Europe and Asia as of March 31, 2023. We are an engineering-first company, with approximately 80% of our global employees, as of March 31, 2023, focused on research, design, and technical innovation, and we have global operations and research and development (“R&amp;D”) centers in the U.K., Europe, North America, India, and Asia-Pacific. Our headquarters are located in Cambridge, U.K.</w:t>
      </w:r>
    </w:p>
    <w:p>
      <w:pPr>
        <w:spacing w:after="0" w:line="187"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For the fiscal year ended March 31, 2022, our total revenue grew by 33%, to $2,703 million, from $2,027 million in the fiscal year ended March 31, 2021. In the fiscal year ended March 31, 2022, as a percentage of total revenues our gross profit margin was 95% and operating income margin was 23% compared to 93% and</w:t>
      </w:r>
    </w:p>
    <w:p>
      <w:pPr>
        <w:spacing w:after="0" w:line="29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99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312" w:lineRule="exact"/>
        <w:rPr>
          <w:sz w:val="20"/>
          <w:szCs w:val="20"/>
          <w:color w:val="auto"/>
        </w:rPr>
      </w:pPr>
    </w:p>
    <w:p>
      <w:pPr>
        <w:ind w:left="300" w:right="340"/>
        <w:spacing w:after="0" w:line="263" w:lineRule="auto"/>
        <w:rPr>
          <w:sz w:val="20"/>
          <w:szCs w:val="20"/>
          <w:color w:val="auto"/>
        </w:rPr>
      </w:pPr>
      <w:r>
        <w:rPr>
          <w:rFonts w:ascii="Arial" w:cs="Arial" w:eastAsia="Arial" w:hAnsi="Arial"/>
          <w:sz w:val="18"/>
          <w:szCs w:val="18"/>
          <w:color w:val="auto"/>
        </w:rPr>
        <w:t>12%, respectively, in the fiscal year ended March 31, 2021. In the fiscal year ended March 31, 2022, we generated net income from continuing operations of $676 million (Non-GAAP net income from continuing operations of $663 million), compared to $544 million (Non-GAAP net income from continuing operations of $207 million) in the fiscal year ended March 31, 2021.</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Journey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left="300" w:right="320" w:firstLine="426"/>
        <w:spacing w:after="0" w:line="263" w:lineRule="auto"/>
        <w:rPr>
          <w:sz w:val="20"/>
          <w:szCs w:val="20"/>
          <w:color w:val="auto"/>
        </w:rPr>
      </w:pPr>
      <w:r>
        <w:rPr>
          <w:rFonts w:ascii="Arial" w:cs="Arial" w:eastAsia="Arial" w:hAnsi="Arial"/>
          <w:sz w:val="18"/>
          <w:szCs w:val="18"/>
          <w:color w:val="auto"/>
        </w:rPr>
        <w:t>Established in 1990, Arm began as a joint venture between Acorn Computers, Apple Computer, and VLSI Technology. We were publicly listed on the London Stock Exchange and the Nasdaq Stock Market from 1998 until 2016, when we were taken private by SoftBank, our controlling shareholder.</w:t>
      </w:r>
    </w:p>
    <w:p>
      <w:pPr>
        <w:spacing w:after="0" w:line="184"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original joint venture set out to develop a processor that was high performance, power efficient, easy to program, and readily scalable—a goal that continues to define Arm today. Our CPUs initially gained significant traction in mobile phones in the mid-1990s because our energy-efficient processors provided an appropriate level of performance while consuming little power, which was critical for these smaller form factor devices. Over time, mobile phones, and the chips they used, became more advanced and ultimately evolved into the smartphones that are prevalent today. The Arm CPU proved to be critical in enabling the smartphone revolution.</w:t>
      </w:r>
    </w:p>
    <w:p>
      <w:pPr>
        <w:spacing w:after="0" w:line="176"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the same evolution.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Strategic Evolution</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Since becoming a private company in 2016, we have made significant investments to further develop and market our products to build on our success in powering the world’s smartphones and other consumer electronic devices. We have focused in recent years on making Arm the ubiquitous provider of compute technology in all market segments by expanding into new markets, including cloud computing, networking, automotive, and IoT, most of which have strong secular tailwinds. Our investments have resulted in a diversified business with more durable growth.</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elements of our evolution included:</w:t>
      </w:r>
    </w:p>
    <w:p>
      <w:pPr>
        <w:spacing w:after="0" w:line="131" w:lineRule="exact"/>
        <w:rPr>
          <w:sz w:val="20"/>
          <w:szCs w:val="20"/>
          <w:color w:val="auto"/>
        </w:rPr>
      </w:pPr>
    </w:p>
    <w:p>
      <w:pPr>
        <w:ind w:left="1240" w:right="4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Creating a Market-Led Business with Products Optimized for Specific Verticals. </w:t>
      </w:r>
      <w:r>
        <w:rPr>
          <w:rFonts w:ascii="Arial" w:cs="Arial" w:eastAsia="Arial" w:hAnsi="Arial"/>
          <w:sz w:val="18"/>
          <w:szCs w:val="18"/>
          <w:color w:val="auto"/>
        </w:rPr>
        <w:t>We have developed multiple product families,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markets such as smartphones, cloud computing, networking, automotive and IoT.</w:t>
      </w:r>
    </w:p>
    <w:p>
      <w:pPr>
        <w:spacing w:after="0" w:line="75" w:lineRule="exact"/>
        <w:rPr>
          <w:rFonts w:ascii="Arial" w:cs="Arial" w:eastAsia="Arial" w:hAnsi="Arial"/>
          <w:sz w:val="18"/>
          <w:szCs w:val="18"/>
          <w:color w:val="auto"/>
        </w:rPr>
      </w:pPr>
    </w:p>
    <w:p>
      <w:pPr>
        <w:ind w:left="1240" w:right="160" w:hanging="415"/>
        <w:spacing w:after="0" w:line="259"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the New Armv9 Architecture. </w:t>
      </w:r>
      <w:r>
        <w:rPr>
          <w:rFonts w:ascii="Arial" w:cs="Arial" w:eastAsia="Arial" w:hAnsi="Arial"/>
          <w:sz w:val="18"/>
          <w:szCs w:val="18"/>
          <w:color w:val="auto"/>
        </w:rPr>
        <w:t>Leveraging the progress made by previous generations of our products, we embarked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the Armv9 architecture, the ninth version of the Arm ISA. Today, the Armv9 architecture powers CPUs that offer improved security and performance across various applications. Consequently, the Armv9 architecture has the potential to drive our royalty opportunity per device even higher.</w:t>
      </w:r>
    </w:p>
    <w:p>
      <w:pPr>
        <w:spacing w:after="0" w:line="92" w:lineRule="exact"/>
        <w:rPr>
          <w:rFonts w:ascii="Arial" w:cs="Arial" w:eastAsia="Arial" w:hAnsi="Arial"/>
          <w:sz w:val="18"/>
          <w:szCs w:val="18"/>
          <w:color w:val="auto"/>
        </w:rPr>
      </w:pPr>
    </w:p>
    <w:p>
      <w:pPr>
        <w:ind w:left="1240" w:right="200" w:hanging="415"/>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Broadening our Compute Platforms. </w:t>
      </w:r>
      <w:r>
        <w:rPr>
          <w:rFonts w:ascii="Arial" w:cs="Arial" w:eastAsia="Arial" w:hAnsi="Arial"/>
          <w:sz w:val="17"/>
          <w:szCs w:val="17"/>
          <w:color w:val="auto"/>
        </w:rPr>
        <w:t>We have curated, integrated, and optimized our CPU and system-design components together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foundational compute platforms to deliver best-in-class performance and energy efficiency for our customers.</w:t>
      </w:r>
    </w:p>
    <w:p>
      <w:pPr>
        <w:spacing w:after="0" w:line="51" w:lineRule="exact"/>
        <w:rPr>
          <w:rFonts w:ascii="Arial" w:cs="Arial" w:eastAsia="Arial" w:hAnsi="Arial"/>
          <w:sz w:val="17"/>
          <w:szCs w:val="17"/>
          <w:color w:val="auto"/>
        </w:rPr>
      </w:pPr>
    </w:p>
    <w:p>
      <w:pPr>
        <w:ind w:left="1240" w:right="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Expanding our Value Proposition for Customers. </w:t>
      </w:r>
      <w:r>
        <w:rPr>
          <w:rFonts w:ascii="Arial" w:cs="Arial" w:eastAsia="Arial" w:hAnsi="Arial"/>
          <w:sz w:val="18"/>
          <w:szCs w:val="18"/>
          <w:color w:val="auto"/>
        </w:rPr>
        <w:t>As building chips using the most advanced manufacturing processes became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complex and more costly, the opportunity to expand our</w:t>
      </w:r>
    </w:p>
    <w:p>
      <w:pPr>
        <w:spacing w:after="0" w:line="27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50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312" w:lineRule="exact"/>
        <w:rPr>
          <w:sz w:val="20"/>
          <w:szCs w:val="20"/>
          <w:color w:val="auto"/>
        </w:rPr>
      </w:pPr>
    </w:p>
    <w:p>
      <w:pPr>
        <w:jc w:val="both"/>
        <w:ind w:left="1240" w:right="60"/>
        <w:spacing w:after="0" w:line="263" w:lineRule="auto"/>
        <w:rPr>
          <w:sz w:val="20"/>
          <w:szCs w:val="20"/>
          <w:color w:val="auto"/>
        </w:rPr>
      </w:pPr>
      <w:r>
        <w:rPr>
          <w:rFonts w:ascii="Arial" w:cs="Arial" w:eastAsia="Arial" w:hAnsi="Arial"/>
          <w:sz w:val="18"/>
          <w:szCs w:val="18"/>
          <w:color w:val="auto"/>
        </w:rPr>
        <w:t>product offerings to our customers increased. As a result, we have created more advanced and optimized CPU products that enable us to provide more value to our customers by giving their devices more functionality and more performance while using less power and at lower cost.</w:t>
      </w:r>
    </w:p>
    <w:p>
      <w:pPr>
        <w:spacing w:after="0" w:line="89" w:lineRule="exact"/>
        <w:rPr>
          <w:sz w:val="20"/>
          <w:szCs w:val="20"/>
          <w:color w:val="auto"/>
        </w:rPr>
      </w:pPr>
    </w:p>
    <w:p>
      <w:pPr>
        <w:ind w:left="1240" w:right="180" w:hanging="415"/>
        <w:spacing w:after="0" w:line="275"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Introducing New Licensing Models with Increased Focus on Maximizing Royalty Opportunities. </w:t>
      </w:r>
      <w:r>
        <w:rPr>
          <w:rFonts w:ascii="Arial" w:cs="Arial" w:eastAsia="Arial" w:hAnsi="Arial"/>
          <w:sz w:val="17"/>
          <w:szCs w:val="17"/>
          <w:color w:val="auto"/>
        </w:rPr>
        <w:t>By licensing a portfolio of Arm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(rather than licensing a single CPU product or other technology design), we have made it easier and more compelling for customers to access and utilize more Arm products, further broadening our potential customer base and end market penetration. Our licensing models provide greater flexibility to our customers and maximize our opportunities to secure more design wins for our products, which results in greater opportunities to increase our recurring royalty revenue.</w:t>
      </w:r>
    </w:p>
    <w:p>
      <w:pPr>
        <w:spacing w:after="0" w:line="81" w:lineRule="exact"/>
        <w:rPr>
          <w:rFonts w:ascii="Arial" w:cs="Arial" w:eastAsia="Arial" w:hAnsi="Arial"/>
          <w:sz w:val="17"/>
          <w:szCs w:val="17"/>
          <w:color w:val="auto"/>
        </w:rPr>
      </w:pPr>
    </w:p>
    <w:p>
      <w:pPr>
        <w:ind w:left="1240" w:right="20" w:hanging="415"/>
        <w:spacing w:after="0" w:line="34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Diversifying and Deepening our Relationships with Market Leaders</w:t>
      </w:r>
      <w:r>
        <w:rPr>
          <w:rFonts w:ascii="Arial" w:cs="Arial" w:eastAsia="Arial" w:hAnsi="Arial"/>
          <w:sz w:val="16"/>
          <w:szCs w:val="16"/>
          <w:color w:val="auto"/>
        </w:rPr>
        <w:t>. We have established close partnerships with leading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all of our target markets, including in mobile computing, cloud servers, advanced automotive, and industrial IoT.</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jc w:val="both"/>
        <w:ind w:left="300" w:right="160" w:firstLine="426"/>
        <w:spacing w:after="0" w:line="287" w:lineRule="auto"/>
        <w:rPr>
          <w:sz w:val="20"/>
          <w:szCs w:val="20"/>
          <w:color w:val="auto"/>
        </w:rPr>
      </w:pPr>
      <w:r>
        <w:rPr>
          <w:rFonts w:ascii="Arial" w:cs="Arial" w:eastAsia="Arial" w:hAnsi="Arial"/>
          <w:sz w:val="16"/>
          <w:szCs w:val="16"/>
          <w:color w:val="auto"/>
        </w:rPr>
        <w:t>Semiconductors are increasingly indispensable to everyday life. In today’s technology-driven world, semiconductors are the enablers of the devices and infrastructure that facilitate virtually everything people do, such as making a phone call, sending an email, storing files in the cloud, streaming videos, or travelling by car, train, or plane. Almost all of the products and services people use every day rely on semiconductors.</w:t>
      </w:r>
    </w:p>
    <w:p>
      <w:pPr>
        <w:spacing w:after="0" w:line="2" w:lineRule="exact"/>
        <w:rPr>
          <w:sz w:val="20"/>
          <w:szCs w:val="20"/>
          <w:color w:val="auto"/>
        </w:rPr>
      </w:pPr>
    </w:p>
    <w:p>
      <w:pPr>
        <w:ind w:left="300" w:right="120"/>
        <w:spacing w:after="0" w:line="253" w:lineRule="auto"/>
        <w:rPr>
          <w:sz w:val="20"/>
          <w:szCs w:val="20"/>
          <w:color w:val="auto"/>
        </w:rPr>
      </w:pPr>
      <w:r>
        <w:rPr>
          <w:rFonts w:ascii="Arial" w:cs="Arial" w:eastAsia="Arial" w:hAnsi="Arial"/>
          <w:sz w:val="18"/>
          <w:szCs w:val="18"/>
          <w:color w:val="auto"/>
        </w:rPr>
        <w:t>Manufacturing, logistics, city infrastructure, and building management also increasingly build their processes and services around semiconductor-enabled devices. As consumers and enterprises continue to demand more from their devices, the pervasiveness of high-performance and energy-efficient semiconductors will continue to expand. We believe there are several key trends driving the growth and evolution of the semiconductor industry.</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Proliferation of Smart, Connected Devices Supporting an Increasingly Digital World</w:t>
      </w:r>
    </w:p>
    <w:p>
      <w:pPr>
        <w:spacing w:after="0" w:line="117" w:lineRule="exact"/>
        <w:rPr>
          <w:sz w:val="20"/>
          <w:szCs w:val="20"/>
          <w:color w:val="auto"/>
        </w:rPr>
      </w:pPr>
    </w:p>
    <w:p>
      <w:pPr>
        <w:ind w:left="300" w:right="120" w:firstLine="426"/>
        <w:spacing w:after="0" w:line="275" w:lineRule="auto"/>
        <w:rPr>
          <w:sz w:val="20"/>
          <w:szCs w:val="20"/>
          <w:color w:val="auto"/>
        </w:rPr>
      </w:pPr>
      <w:r>
        <w:rPr>
          <w:rFonts w:ascii="Arial" w:cs="Arial" w:eastAsia="Arial" w:hAnsi="Arial"/>
          <w:sz w:val="17"/>
          <w:szCs w:val="17"/>
          <w:color w:val="auto"/>
        </w:rPr>
        <w:t>The world is becoming increasingly digital with the proliferation of smart, connected devices, such as smartphones, wearables, PCs, tablets, and other electronic devices. Even everyday products like washing machines, thermostats, and utility meters are becoming more advanced. According to Deloitte’s 2022 Connectivity and Mobile Trends Survey, the average U.S. household had 22 connected devices in 2022, doubling from 11 devices in 2019. The market trend to make nearly all products smart and connected is not just limited to consumer electronics, but is also driving a wave of innovation across a broad range of end markets and use cases.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Increased Need for High-Performance, Power-Efficient Compute</w:t>
      </w:r>
    </w:p>
    <w:p>
      <w:pPr>
        <w:spacing w:after="0" w:line="117"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massive expansion of data, advanced software applications, and AI are driving the need for high-performance compute capabilities. To address increasingly complex workloads, a key approach has been to increase the speed of a CPU and expand the number of processor cores per chip. Solely running an existing chip faster may deliver more compute performance, but increasing performance results in higher energy costs, which may cause thermal limits to be exceeded. Collectively, these considerations result in the need for innovation in chip design to address market demands for an optimal balance of performance, efficiency, size, and cost across end markets.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Increasing Complexity and Cost of Designing Leading-Edge Solutions</w:t>
      </w:r>
    </w:p>
    <w:p>
      <w:pPr>
        <w:spacing w:after="0" w:line="117" w:lineRule="exact"/>
        <w:rPr>
          <w:sz w:val="20"/>
          <w:szCs w:val="20"/>
          <w:color w:val="auto"/>
        </w:rPr>
      </w:pPr>
    </w:p>
    <w:p>
      <w:pPr>
        <w:ind w:left="300" w:right="140" w:firstLine="426"/>
        <w:spacing w:after="0" w:line="311" w:lineRule="auto"/>
        <w:rPr>
          <w:sz w:val="20"/>
          <w:szCs w:val="20"/>
          <w:color w:val="auto"/>
        </w:rPr>
      </w:pPr>
      <w:r>
        <w:rPr>
          <w:rFonts w:ascii="Arial" w:cs="Arial" w:eastAsia="Arial" w:hAnsi="Arial"/>
          <w:sz w:val="16"/>
          <w:szCs w:val="16"/>
          <w:color w:val="auto"/>
        </w:rPr>
        <w:t>The resources required to develop leading-edge products are significant and continue to increase exponentially as manufacturing process nodes shrink. According to the International Business Strategy, Inc. (“IBS”), IC design costs in 2022 were approximately $48 million for a 28 nm chip and approximately $725 million for a 2nm chip. By providing specialized capabilities and expertise that enables semiconductor</w:t>
      </w:r>
    </w:p>
    <w:p>
      <w:pPr>
        <w:spacing w:after="0" w:line="25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734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312" w:lineRule="exact"/>
        <w:rPr>
          <w:sz w:val="20"/>
          <w:szCs w:val="20"/>
          <w:color w:val="auto"/>
        </w:rPr>
      </w:pPr>
    </w:p>
    <w:p>
      <w:pPr>
        <w:ind w:left="300" w:right="60"/>
        <w:spacing w:after="0" w:line="275" w:lineRule="auto"/>
        <w:rPr>
          <w:sz w:val="20"/>
          <w:szCs w:val="20"/>
          <w:color w:val="auto"/>
        </w:rPr>
      </w:pPr>
      <w:r>
        <w:rPr>
          <w:rFonts w:ascii="Arial" w:cs="Arial" w:eastAsia="Arial" w:hAnsi="Arial"/>
          <w:sz w:val="17"/>
          <w:szCs w:val="17"/>
          <w:color w:val="auto"/>
        </w:rPr>
        <w:t>suppliers to focus on their core product differentiation, while accelerating time-to-market, reducing risk, and keeping pace with market innovation, CPU design partners play an increasingly valuable role in the design process. Design partners facilitate innovation and enhance customers’ competitive positioning by removing the complexity and cost of a significant part of the development cycle. In addition, semiconductor design partners like Arm that can demonstrate a deep understanding of their customers’ workloads are better positioned to integrate themselves into their customers’ workflows, further expanding their value proposition over time.</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In-House Development and Custom Silicon Chips</w:t>
      </w:r>
    </w:p>
    <w:p>
      <w:pPr>
        <w:spacing w:after="0" w:line="117" w:lineRule="exact"/>
        <w:rPr>
          <w:sz w:val="20"/>
          <w:szCs w:val="20"/>
          <w:color w:val="auto"/>
        </w:rPr>
      </w:pPr>
    </w:p>
    <w:p>
      <w:pPr>
        <w:ind w:left="300" w:right="60" w:firstLine="426"/>
        <w:spacing w:after="0" w:line="286" w:lineRule="auto"/>
        <w:rPr>
          <w:sz w:val="20"/>
          <w:szCs w:val="20"/>
          <w:color w:val="auto"/>
        </w:rPr>
      </w:pPr>
      <w:r>
        <w:rPr>
          <w:rFonts w:ascii="Arial" w:cs="Arial" w:eastAsia="Arial" w:hAnsi="Arial"/>
          <w:sz w:val="16"/>
          <w:szCs w:val="16"/>
          <w:color w:val="auto"/>
        </w:rPr>
        <w:t>Many OEMs today utilize “off-the-shelf,” or “merchant,” semiconductors when building their product offerings. However, this approach can introduce compromises. For example, an OEM may use a chip that includes features that are irrelevant for its use case, at the expense of performance and cost efficiency. Similarly, an OEM may need a chip that incorporates features not otherwise available from a merchant supplier. As a result, leading OEMs are increasingly looking to build custom chips that deliver greater performance and greater efficiency at an equal or</w:t>
      </w:r>
    </w:p>
    <w:p>
      <w:pPr>
        <w:spacing w:after="0" w:line="1" w:lineRule="exact"/>
        <w:rPr>
          <w:sz w:val="20"/>
          <w:szCs w:val="20"/>
          <w:color w:val="auto"/>
        </w:rPr>
      </w:pPr>
    </w:p>
    <w:p>
      <w:pPr>
        <w:jc w:val="both"/>
        <w:ind w:left="300" w:right="20"/>
        <w:spacing w:after="0" w:line="255" w:lineRule="auto"/>
        <w:rPr>
          <w:sz w:val="20"/>
          <w:szCs w:val="20"/>
          <w:color w:val="auto"/>
        </w:rPr>
      </w:pPr>
      <w:r>
        <w:rPr>
          <w:rFonts w:ascii="Arial" w:cs="Arial" w:eastAsia="Arial" w:hAnsi="Arial"/>
          <w:sz w:val="18"/>
          <w:szCs w:val="18"/>
          <w:color w:val="auto"/>
        </w:rPr>
        <w:t>better price for a particular use case. The successes of Arm-based products such as , deployed across data centers globally, have demonstrated the opportunity to create a sustainable competitive advantage through this approach. This trend of increasing use of customized solutions has significantly expanded the opportunity for market-optimized design providers like Arm.</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provide the most pervasive CPU architecture in the world. The key elements of how we deliver our solution include:</w:t>
      </w:r>
    </w:p>
    <w:p>
      <w:pPr>
        <w:spacing w:after="0" w:line="131" w:lineRule="exact"/>
        <w:rPr>
          <w:sz w:val="20"/>
          <w:szCs w:val="20"/>
          <w:color w:val="auto"/>
        </w:rPr>
      </w:pPr>
    </w:p>
    <w:p>
      <w:pPr>
        <w:ind w:left="1240" w:right="2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Arm CPUs. </w:t>
      </w:r>
      <w:r>
        <w:rPr>
          <w:rFonts w:ascii="Arial" w:cs="Arial" w:eastAsia="Arial" w:hAnsi="Arial"/>
          <w:sz w:val="18"/>
          <w:szCs w:val="18"/>
          <w:color w:val="auto"/>
        </w:rPr>
        <w:t>The foundation of our product offerings is our market-leading CPU products. Our CPU products leverage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 ISA and address the widest range of performance, power, and cost requirements.</w:t>
      </w:r>
    </w:p>
    <w:p>
      <w:pPr>
        <w:spacing w:after="0" w:line="71"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Other Design Offerings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portfolio of products that are deployed alongside our CPUs, including:</w:t>
      </w:r>
    </w:p>
    <w:p>
      <w:pPr>
        <w:spacing w:after="0" w:line="134" w:lineRule="exact"/>
        <w:rPr>
          <w:rFonts w:ascii="Arial" w:cs="Arial" w:eastAsia="Arial" w:hAnsi="Arial"/>
          <w:sz w:val="18"/>
          <w:szCs w:val="18"/>
          <w:color w:val="auto"/>
        </w:rPr>
      </w:pPr>
    </w:p>
    <w:p>
      <w:pPr>
        <w:ind w:left="1640" w:right="160" w:hanging="289"/>
        <w:spacing w:after="0" w:line="277" w:lineRule="auto"/>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Graphics Processing Units. </w:t>
      </w:r>
      <w:r>
        <w:rPr>
          <w:rFonts w:ascii="Arial" w:cs="Arial" w:eastAsia="Arial" w:hAnsi="Arial"/>
          <w:sz w:val="18"/>
          <w:szCs w:val="18"/>
          <w:color w:val="auto"/>
        </w:rPr>
        <w:t>We offer a family of GPU products providing an optimal visual experience across a wide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w:t>
      </w:r>
    </w:p>
    <w:p>
      <w:pPr>
        <w:spacing w:after="0" w:line="75" w:lineRule="exact"/>
        <w:rPr>
          <w:rFonts w:ascii="Arial" w:cs="Arial" w:eastAsia="Arial" w:hAnsi="Arial"/>
          <w:sz w:val="18"/>
          <w:szCs w:val="18"/>
          <w:color w:val="auto"/>
        </w:rPr>
      </w:pPr>
    </w:p>
    <w:p>
      <w:pPr>
        <w:ind w:left="1640" w:right="160" w:hanging="289"/>
        <w:spacing w:after="0" w:line="277" w:lineRule="auto"/>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System IP. </w:t>
      </w:r>
      <w:r>
        <w:rPr>
          <w:rFonts w:ascii="Arial" w:cs="Arial" w:eastAsia="Arial" w:hAnsi="Arial"/>
          <w:sz w:val="18"/>
          <w:szCs w:val="18"/>
          <w:color w:val="auto"/>
        </w:rPr>
        <w:t>Complementary design components that enable designers to create high performance, power-efficient, reliable,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 chips.</w:t>
      </w:r>
    </w:p>
    <w:p>
      <w:pPr>
        <w:spacing w:after="0" w:line="75" w:lineRule="exact"/>
        <w:rPr>
          <w:rFonts w:ascii="Arial" w:cs="Arial" w:eastAsia="Arial" w:hAnsi="Arial"/>
          <w:sz w:val="18"/>
          <w:szCs w:val="18"/>
          <w:color w:val="auto"/>
        </w:rPr>
      </w:pPr>
    </w:p>
    <w:p>
      <w:pPr>
        <w:ind w:left="1640" w:right="600" w:hanging="289"/>
        <w:spacing w:after="0" w:line="277" w:lineRule="auto"/>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Compute Platform Products. </w:t>
      </w:r>
      <w:r>
        <w:rPr>
          <w:rFonts w:ascii="Arial" w:cs="Arial" w:eastAsia="Arial" w:hAnsi="Arial"/>
          <w:sz w:val="18"/>
          <w:szCs w:val="18"/>
          <w:color w:val="auto"/>
        </w:rPr>
        <w:t>Arm’s CPU, GPU, and System IP products integrate into a foundational compute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a specific end market.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Tools and Software. </w:t>
      </w:r>
      <w:r>
        <w:rPr>
          <w:rFonts w:ascii="Arial" w:cs="Arial" w:eastAsia="Arial" w:hAnsi="Arial"/>
          <w:sz w:val="18"/>
          <w:szCs w:val="18"/>
          <w:color w:val="auto"/>
        </w:rPr>
        <w:t>Our tools and software support the development and deployment of our offerings.</w:t>
      </w:r>
    </w:p>
    <w:p>
      <w:pPr>
        <w:spacing w:after="0" w:line="225"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continue to expand the scope of our product offerings. Given the complexities of developing chips using the most advanced manufacturing processes, we are making significant investments in solutions that better support the increasing number of OEMs looking to develop their own customized chips.</w:t>
      </w:r>
    </w:p>
    <w:p>
      <w:pPr>
        <w:spacing w:after="0" w:line="184" w:lineRule="exact"/>
        <w:rPr>
          <w:sz w:val="20"/>
          <w:szCs w:val="20"/>
          <w:color w:val="auto"/>
        </w:rPr>
      </w:pPr>
    </w:p>
    <w:p>
      <w:pPr>
        <w:ind w:left="300" w:right="100" w:firstLine="426"/>
        <w:spacing w:after="0" w:line="286" w:lineRule="auto"/>
        <w:rPr>
          <w:sz w:val="20"/>
          <w:szCs w:val="20"/>
          <w:color w:val="auto"/>
        </w:rPr>
      </w:pPr>
      <w:r>
        <w:rPr>
          <w:rFonts w:ascii="Arial" w:cs="Arial" w:eastAsia="Arial" w:hAnsi="Arial"/>
          <w:sz w:val="17"/>
          <w:szCs w:val="17"/>
          <w:color w:val="auto"/>
        </w:rPr>
        <w:t>In addition, we have cultivated a broad ecosystem of third-party hardware and software partners to support our customers, including leading semiconductor technology suppliers, such as foundries and EDA vendors. We also invest in our software ecosystem and work closely with firmware and operating system vendors, game engine vendors, software tool providers, and application software developers.</w:t>
      </w:r>
    </w:p>
    <w:p>
      <w:pPr>
        <w:spacing w:after="0" w:line="27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93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312"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that the primary customer benefits of our solution include:</w:t>
      </w:r>
    </w:p>
    <w:p>
      <w:pPr>
        <w:spacing w:after="0" w:line="131" w:lineRule="exact"/>
        <w:rPr>
          <w:sz w:val="20"/>
          <w:szCs w:val="20"/>
          <w:color w:val="auto"/>
        </w:rPr>
      </w:pPr>
    </w:p>
    <w:p>
      <w:pPr>
        <w:ind w:left="1240" w:right="80" w:hanging="415"/>
        <w:spacing w:after="0" w:line="25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Ability to Optimize for Performance, Power and Area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Arm’s flexible and modular design IP enables customers to build chips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the PPA requirements for a specific use case or end market. A battery-powered device such as a smartphone has a different PPA requirement versus a high-performance cloud server or an IoT sensor. By developing a wide range of CPU and related technologies, Arm can provide a CPU optimized for various use cases to reduce both energy consumption and area (with area being a key driver of the ultimate cost of a chip).</w:t>
      </w:r>
    </w:p>
    <w:p>
      <w:pPr>
        <w:spacing w:after="0" w:line="93" w:lineRule="exact"/>
        <w:rPr>
          <w:rFonts w:ascii="Arial" w:cs="Arial" w:eastAsia="Arial" w:hAnsi="Arial"/>
          <w:sz w:val="18"/>
          <w:szCs w:val="18"/>
          <w:color w:val="auto"/>
        </w:rPr>
      </w:pPr>
    </w:p>
    <w:p>
      <w:pPr>
        <w:ind w:left="1240" w:right="60" w:hanging="415"/>
        <w:spacing w:after="0" w:line="291"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Alignment with the Semiconductor Industry’s Technology Roadmap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leading-edge manufacturing processes continue to progress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towards smaller transistors, developing chips is becoming harder and more costly, requiring more engineering time and effort. To further reduce our customers’ costs and to help de-risk their product development efforts, we combine our CPU products and SoC knowledge with our deep understanding of our ecosystem partners’ design tools and manufacturing processes to provide processor products that not only optimize for power and performance, but also accelerate time to market for our customers. In addition, through our deep customer and partner relationships, we have unique visibility into the future requirements of end markets as far as 10 years out, which informs the development of our products to ensure that our products meet or exceed future market needs.</w:t>
      </w:r>
    </w:p>
    <w:p>
      <w:pPr>
        <w:spacing w:after="0" w:line="71" w:lineRule="exact"/>
        <w:rPr>
          <w:rFonts w:ascii="Arial" w:cs="Arial" w:eastAsia="Arial" w:hAnsi="Arial"/>
          <w:sz w:val="16"/>
          <w:szCs w:val="16"/>
          <w:color w:val="auto"/>
        </w:rPr>
      </w:pPr>
    </w:p>
    <w:p>
      <w:pPr>
        <w:ind w:left="1240" w:right="220" w:hanging="415"/>
        <w:spacing w:after="0" w:line="275"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Reduced Design Risk and Cost. </w:t>
      </w:r>
      <w:r>
        <w:rPr>
          <w:rFonts w:ascii="Arial" w:cs="Arial" w:eastAsia="Arial" w:hAnsi="Arial"/>
          <w:sz w:val="17"/>
          <w:szCs w:val="17"/>
          <w:color w:val="auto"/>
        </w:rPr>
        <w:t>Our solution allows customers to build optimized chips, while reducing their design execution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their internal development costs. We generally expect to license our products to multiple customers, enabling us to completely cover the cost of developing new Arm products by charging each licensee only a portion of the total development costs. We invest significant time, resources and effort in the design and verification of each processor and work closely with our partners to ensure a standard of excellence in the processor products we deliver to our customers.</w:t>
      </w:r>
    </w:p>
    <w:p>
      <w:pPr>
        <w:spacing w:after="0" w:line="81" w:lineRule="exact"/>
        <w:rPr>
          <w:rFonts w:ascii="Arial" w:cs="Arial" w:eastAsia="Arial" w:hAnsi="Arial"/>
          <w:sz w:val="17"/>
          <w:szCs w:val="17"/>
          <w:color w:val="auto"/>
        </w:rPr>
      </w:pPr>
    </w:p>
    <w:p>
      <w:pPr>
        <w:ind w:left="1240" w:hanging="415"/>
        <w:spacing w:after="0" w:line="273"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Incorporation of AI and ML Acceleration in Every Processor We Design. </w:t>
      </w:r>
      <w:r>
        <w:rPr>
          <w:rFonts w:ascii="Arial" w:cs="Arial" w:eastAsia="Arial" w:hAnsi="Arial"/>
          <w:sz w:val="17"/>
          <w:szCs w:val="17"/>
          <w:color w:val="auto"/>
        </w:rPr>
        <w:t>Using an AI or ML algorithm is just another way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programming the software needed to run a chip, and we expect that AI and ML algorithms will complement the software used by most chips in the future, from high-end super computers to tiny, remote sensors. Arm processors run AI and ML workloads, and every smartphone currently in the market efficiently runs AI inference applications, such as voice recognition and applying filters to digital images. To ensure that software developers can efficiently run the AI and ML workloads, each generation of our processors is designed to accelerate key parts of algorithms that will be used in future applications.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We define our total addressable market (“TAM”) to include all chips that can contain a processor and, therefore, our TAM includes the main controller chips in smartphones, PCs, digital TVs, servers, vehicles and networking equipment. Our TAM excludes chips that are unlikely to contain a processor, such as memory and analog chips.</w:t>
      </w:r>
    </w:p>
    <w:p>
      <w:pPr>
        <w:spacing w:after="0" w:line="184" w:lineRule="exact"/>
        <w:rPr>
          <w:sz w:val="20"/>
          <w:szCs w:val="20"/>
          <w:color w:val="auto"/>
        </w:rPr>
      </w:pPr>
    </w:p>
    <w:p>
      <w:pPr>
        <w:ind w:left="300" w:right="160" w:firstLine="426"/>
        <w:spacing w:after="0" w:line="271" w:lineRule="auto"/>
        <w:rPr>
          <w:sz w:val="20"/>
          <w:szCs w:val="20"/>
          <w:color w:val="auto"/>
        </w:rPr>
      </w:pPr>
      <w:r>
        <w:rPr>
          <w:rFonts w:ascii="Arial" w:cs="Arial" w:eastAsia="Arial" w:hAnsi="Arial"/>
          <w:sz w:val="17"/>
          <w:szCs w:val="17"/>
          <w:color w:val="auto"/>
        </w:rPr>
        <w:t>For the fiscal year ended March 31, 2023, we estimate that our TAM was approximately $ billion and we forecast that our TAM will grow at a % compound annual growth rate (“CAGR”) to approximately $ billion by the end of our fiscal year ending March 31, 2026. We estimate that the aggregate value of chips containing Arm technology was approximately $ billion in the fiscal year ended March 31, 2023,</w:t>
      </w:r>
    </w:p>
    <w:p>
      <w:pPr>
        <w:ind w:left="300"/>
        <w:spacing w:after="0"/>
        <w:tabs>
          <w:tab w:leader="none" w:pos="2560" w:val="left"/>
        </w:tabs>
        <w:rPr>
          <w:sz w:val="20"/>
          <w:szCs w:val="20"/>
          <w:color w:val="auto"/>
        </w:rPr>
      </w:pPr>
      <w:r>
        <w:rPr>
          <w:rFonts w:ascii="Arial" w:cs="Arial" w:eastAsia="Arial" w:hAnsi="Arial"/>
          <w:sz w:val="18"/>
          <w:szCs w:val="18"/>
          <w:color w:val="auto"/>
        </w:rPr>
        <w:t>representing an approximate</w:t>
      </w:r>
      <w:r>
        <w:rPr>
          <w:sz w:val="20"/>
          <w:szCs w:val="20"/>
          <w:color w:val="auto"/>
        </w:rPr>
        <w:tab/>
      </w:r>
      <w:r>
        <w:rPr>
          <w:rFonts w:ascii="Arial" w:cs="Arial" w:eastAsia="Arial" w:hAnsi="Arial"/>
          <w:sz w:val="15"/>
          <w:szCs w:val="15"/>
          <w:color w:val="auto"/>
        </w:rPr>
        <w:t>% market share. We estimate that our royalty revenue today represents</w:t>
      </w:r>
    </w:p>
    <w:p>
      <w:pPr>
        <w:spacing w:after="0" w:line="3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544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312"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approximately % of the industry TAM containing Arm-based chips. We expect that the cost and complexity of chip design will continue to increase, and that we will be able to contribute a greater proportion of the technology included in each chip, resulting in our royalties comprising a greater proportion of each chip’s total value.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Mobile Applications Processor</w:t>
      </w:r>
    </w:p>
    <w:p>
      <w:pPr>
        <w:spacing w:after="0" w:line="117" w:lineRule="exact"/>
        <w:rPr>
          <w:sz w:val="20"/>
          <w:szCs w:val="20"/>
          <w:color w:val="auto"/>
        </w:rPr>
      </w:pPr>
    </w:p>
    <w:p>
      <w:pPr>
        <w:ind w:left="300" w:right="40" w:firstLine="426"/>
        <w:spacing w:after="0" w:line="287" w:lineRule="auto"/>
        <w:rPr>
          <w:sz w:val="20"/>
          <w:szCs w:val="20"/>
          <w:color w:val="auto"/>
        </w:rPr>
      </w:pPr>
      <w:r>
        <w:rPr>
          <w:rFonts w:ascii="Arial" w:cs="Arial" w:eastAsia="Arial" w:hAnsi="Arial"/>
          <w:sz w:val="16"/>
          <w:szCs w:val="16"/>
          <w:color w:val="auto"/>
        </w:rPr>
        <w:t>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w:t>
      </w:r>
    </w:p>
    <w:p>
      <w:pPr>
        <w:spacing w:after="0" w:line="2" w:lineRule="exact"/>
        <w:rPr>
          <w:sz w:val="20"/>
          <w:szCs w:val="20"/>
          <w:color w:val="auto"/>
        </w:rPr>
      </w:pPr>
    </w:p>
    <w:p>
      <w:pPr>
        <w:ind w:left="300" w:right="100"/>
        <w:spacing w:after="0" w:line="265" w:lineRule="auto"/>
        <w:rPr>
          <w:sz w:val="20"/>
          <w:szCs w:val="20"/>
          <w:color w:val="auto"/>
        </w:rPr>
      </w:pPr>
      <w:r>
        <w:rPr>
          <w:rFonts w:ascii="Arial" w:cs="Arial" w:eastAsia="Arial" w:hAnsi="Arial"/>
          <w:sz w:val="17"/>
          <w:szCs w:val="17"/>
          <w:color w:val="auto"/>
        </w:rPr>
        <w:t>recharged. We expect the mobile applications processor market to grow from approximately $ billion in the fiscal year ended March 31, 2023 to approximately $ billion in the fiscal year ending March 31, 2026, representing a CAGR of % over that period. We have maintained</w:t>
      </w:r>
    </w:p>
    <w:p>
      <w:pPr>
        <w:ind w:left="300" w:right="600"/>
        <w:spacing w:after="0" w:line="260" w:lineRule="auto"/>
        <w:rPr>
          <w:sz w:val="20"/>
          <w:szCs w:val="20"/>
          <w:color w:val="auto"/>
        </w:rPr>
      </w:pPr>
      <w:r>
        <w:rPr>
          <w:rFonts w:ascii="Arial" w:cs="Arial" w:eastAsia="Arial" w:hAnsi="Arial"/>
          <w:sz w:val="18"/>
          <w:szCs w:val="18"/>
          <w:color w:val="auto"/>
        </w:rPr>
        <w:t>market share in the mobile applications processor market of greater than 99% for many years, by virtue of all key mobile operating systems depending on Arm processors.</w:t>
      </w:r>
    </w:p>
    <w:p>
      <w:pPr>
        <w:spacing w:after="0" w:line="185"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We expect the value of the market for mobile applications processors to continue to grow, particularly in light of several smartphone usage trends that are increasing the need for high-performance processing capabilities, including the shift to 5G, growth in mobile gaming and emergence of AI and ML workloads.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Mobile Chips</w:t>
      </w:r>
    </w:p>
    <w:p>
      <w:pPr>
        <w:spacing w:after="0" w:line="117" w:lineRule="exact"/>
        <w:rPr>
          <w:sz w:val="20"/>
          <w:szCs w:val="20"/>
          <w:color w:val="auto"/>
        </w:rPr>
      </w:pPr>
    </w:p>
    <w:p>
      <w:pPr>
        <w:ind w:left="300" w:right="240" w:firstLine="426"/>
        <w:spacing w:after="0" w:line="291" w:lineRule="auto"/>
        <w:rPr>
          <w:sz w:val="20"/>
          <w:szCs w:val="20"/>
          <w:color w:val="auto"/>
        </w:rPr>
      </w:pPr>
      <w:r>
        <w:rPr>
          <w:rFonts w:ascii="Arial" w:cs="Arial" w:eastAsia="Arial" w:hAnsi="Arial"/>
          <w:sz w:val="16"/>
          <w:szCs w:val="16"/>
          <w:color w:val="auto"/>
        </w:rPr>
        <w:t>Mobile phones contain many chips beyond the main applications processor, including the modem, Wi-Fi, Bluetooth and NFC connectivity chips, GPS chips, touchscreen controllers, power management chips, camera chips, audio chips and more, which we refer to collectively as the</w:t>
      </w:r>
    </w:p>
    <w:p>
      <w:pPr>
        <w:jc w:val="both"/>
        <w:ind w:left="300" w:right="760"/>
        <w:spacing w:after="0" w:line="290" w:lineRule="auto"/>
        <w:rPr>
          <w:sz w:val="20"/>
          <w:szCs w:val="20"/>
          <w:color w:val="auto"/>
        </w:rPr>
      </w:pPr>
      <w:r>
        <w:rPr>
          <w:rFonts w:ascii="Arial" w:cs="Arial" w:eastAsia="Arial" w:hAnsi="Arial"/>
          <w:sz w:val="17"/>
          <w:szCs w:val="17"/>
          <w:color w:val="auto"/>
        </w:rPr>
        <w:t>“other mobile chips market.” We expect the other mobile chips market to grow from approximately $ billion in the fiscal year ended March 31, 2023 to approximately $ billion in the fiscal year ending March 31, 2026, representing a CAGR of % over that period.</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Consumer Electronics</w:t>
      </w:r>
    </w:p>
    <w:p>
      <w:pPr>
        <w:spacing w:after="0" w:line="117" w:lineRule="exact"/>
        <w:rPr>
          <w:sz w:val="20"/>
          <w:szCs w:val="20"/>
          <w:color w:val="auto"/>
        </w:rPr>
      </w:pPr>
    </w:p>
    <w:p>
      <w:pPr>
        <w:ind w:left="300" w:right="100" w:firstLine="426"/>
        <w:spacing w:after="0" w:line="291" w:lineRule="auto"/>
        <w:rPr>
          <w:sz w:val="20"/>
          <w:szCs w:val="20"/>
          <w:color w:val="auto"/>
        </w:rPr>
      </w:pPr>
      <w:r>
        <w:rPr>
          <w:rFonts w:ascii="Arial" w:cs="Arial" w:eastAsia="Arial" w:hAnsi="Arial"/>
          <w:sz w:val="16"/>
          <w:szCs w:val="16"/>
          <w:color w:val="auto"/>
        </w:rPr>
        <w:t>CE includes products found in the home, such as digital TVs, tablets, laptops, extended reality (“XR”) headsets and wearables. The market share of Arm-based chips in consumer electronics is increasing as new product categories, such as smart speakers, XR headsets and laptops, adopt</w:t>
      </w:r>
    </w:p>
    <w:tbl>
      <w:tblPr>
        <w:tblLayout w:type="fixed"/>
        <w:tblInd w:w="300" w:type="dxa"/>
        <w:tblCellMar>
          <w:top w:w="0" w:type="dxa"/>
          <w:left w:w="0" w:type="dxa"/>
          <w:bottom w:w="0" w:type="dxa"/>
          <w:right w:w="0" w:type="dxa"/>
        </w:tblCellMar>
      </w:tblPr>
      <w:tr>
        <w:trPr>
          <w:trHeight w:val="202"/>
        </w:trPr>
        <w:tc>
          <w:tcPr>
            <w:tcW w:w="10020" w:type="dxa"/>
            <w:vAlign w:val="bottom"/>
            <w:gridSpan w:val="3"/>
          </w:tcPr>
          <w:p>
            <w:pPr>
              <w:spacing w:after="0" w:line="202" w:lineRule="exact"/>
              <w:rPr>
                <w:sz w:val="20"/>
                <w:szCs w:val="20"/>
                <w:color w:val="auto"/>
              </w:rPr>
            </w:pPr>
            <w:r>
              <w:rPr>
                <w:rFonts w:ascii="Arial" w:cs="Arial" w:eastAsia="Arial" w:hAnsi="Arial"/>
                <w:sz w:val="18"/>
                <w:szCs w:val="18"/>
                <w:color w:val="auto"/>
                <w:w w:val="94"/>
              </w:rPr>
              <w:t>Arm products to achieve high performance without sacrificing efficiency. We expect the CE chip market to grow from approximately $</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billion</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in the fiscal year ended March 31, 2023 to approximately $</w:t>
            </w:r>
          </w:p>
        </w:tc>
        <w:tc>
          <w:tcPr>
            <w:tcW w:w="5600" w:type="dxa"/>
            <w:vAlign w:val="bottom"/>
          </w:tcPr>
          <w:p>
            <w:pPr>
              <w:ind w:left="240"/>
              <w:spacing w:after="0"/>
              <w:rPr>
                <w:sz w:val="20"/>
                <w:szCs w:val="20"/>
                <w:color w:val="auto"/>
              </w:rPr>
            </w:pPr>
            <w:r>
              <w:rPr>
                <w:rFonts w:ascii="Arial" w:cs="Arial" w:eastAsia="Arial" w:hAnsi="Arial"/>
                <w:sz w:val="18"/>
                <w:szCs w:val="18"/>
                <w:color w:val="auto"/>
                <w:w w:val="93"/>
              </w:rPr>
              <w:t>billion in the fiscal year ending March 31, 2026, representing a CAGR of</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over that period.</w:t>
            </w:r>
          </w:p>
        </w:tc>
        <w:tc>
          <w:tcPr>
            <w:tcW w:w="5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40"/>
        </w:trPr>
        <w:tc>
          <w:tcPr>
            <w:tcW w:w="4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Industrial IoT and Embedded</w:t>
            </w:r>
          </w:p>
        </w:tc>
        <w:tc>
          <w:tcPr>
            <w:tcW w:w="56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9760" w:type="dxa"/>
            <w:vAlign w:val="bottom"/>
            <w:gridSpan w:val="2"/>
          </w:tcPr>
          <w:p>
            <w:pPr>
              <w:ind w:left="160"/>
              <w:spacing w:after="0"/>
              <w:rPr>
                <w:sz w:val="20"/>
                <w:szCs w:val="20"/>
                <w:color w:val="auto"/>
              </w:rPr>
            </w:pPr>
            <w:r>
              <w:rPr>
                <w:rFonts w:ascii="Arial" w:cs="Arial" w:eastAsia="Arial" w:hAnsi="Arial"/>
                <w:sz w:val="18"/>
                <w:szCs w:val="18"/>
                <w:color w:val="auto"/>
                <w:w w:val="92"/>
              </w:rPr>
              <w:t>The industrial IoT and embedded semiconductor TAM includes chips used by a wide range of goods, including washing machines,</w:t>
            </w:r>
          </w:p>
        </w:tc>
        <w:tc>
          <w:tcPr>
            <w:tcW w:w="580" w:type="dxa"/>
            <w:vAlign w:val="bottom"/>
          </w:tcPr>
          <w:p>
            <w:pPr>
              <w:spacing w:after="0"/>
              <w:rPr>
                <w:sz w:val="24"/>
                <w:szCs w:val="24"/>
                <w:color w:val="auto"/>
              </w:rPr>
            </w:pPr>
          </w:p>
        </w:tc>
      </w:tr>
      <w:tr>
        <w:trPr>
          <w:trHeight w:val="216"/>
        </w:trPr>
        <w:tc>
          <w:tcPr>
            <w:tcW w:w="10020" w:type="dxa"/>
            <w:vAlign w:val="bottom"/>
            <w:gridSpan w:val="3"/>
          </w:tcPr>
          <w:p>
            <w:pPr>
              <w:spacing w:after="0"/>
              <w:rPr>
                <w:sz w:val="20"/>
                <w:szCs w:val="20"/>
                <w:color w:val="auto"/>
              </w:rPr>
            </w:pPr>
            <w:r>
              <w:rPr>
                <w:rFonts w:ascii="Arial" w:cs="Arial" w:eastAsia="Arial" w:hAnsi="Arial"/>
                <w:sz w:val="18"/>
                <w:szCs w:val="18"/>
                <w:color w:val="auto"/>
                <w:w w:val="90"/>
              </w:rPr>
              <w:t>thermostats, digital cameras, drones, sensors, surveillance cameras, manufacturing equipment, robotics, electric motor controllers and city</w:t>
            </w:r>
          </w:p>
        </w:tc>
        <w:tc>
          <w:tcPr>
            <w:tcW w:w="580" w:type="dxa"/>
            <w:vAlign w:val="bottom"/>
          </w:tcPr>
          <w:p>
            <w:pPr>
              <w:spacing w:after="0"/>
              <w:rPr>
                <w:sz w:val="18"/>
                <w:szCs w:val="18"/>
                <w:color w:val="auto"/>
              </w:rPr>
            </w:pPr>
          </w:p>
        </w:tc>
      </w:tr>
      <w:tr>
        <w:trPr>
          <w:trHeight w:val="216"/>
        </w:trPr>
        <w:tc>
          <w:tcPr>
            <w:tcW w:w="10020" w:type="dxa"/>
            <w:vAlign w:val="bottom"/>
            <w:gridSpan w:val="3"/>
          </w:tcPr>
          <w:p>
            <w:pPr>
              <w:spacing w:after="0"/>
              <w:rPr>
                <w:sz w:val="20"/>
                <w:szCs w:val="20"/>
                <w:color w:val="auto"/>
              </w:rPr>
            </w:pPr>
            <w:r>
              <w:rPr>
                <w:rFonts w:ascii="Arial" w:cs="Arial" w:eastAsia="Arial" w:hAnsi="Arial"/>
                <w:sz w:val="18"/>
                <w:szCs w:val="18"/>
                <w:color w:val="auto"/>
                <w:w w:val="92"/>
              </w:rPr>
              <w:t>infrastructure and building management equipment. We expect the industrial IoT and embedded chip market to grow from approximately</w:t>
            </w:r>
          </w:p>
        </w:tc>
        <w:tc>
          <w:tcPr>
            <w:tcW w:w="580" w:type="dxa"/>
            <w:vAlign w:val="bottom"/>
          </w:tcPr>
          <w:p>
            <w:pPr>
              <w:spacing w:after="0"/>
              <w:rPr>
                <w:sz w:val="18"/>
                <w:szCs w:val="18"/>
                <w:color w:val="auto"/>
              </w:rPr>
            </w:pP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240"/>
              <w:spacing w:after="0"/>
              <w:rPr>
                <w:sz w:val="20"/>
                <w:szCs w:val="20"/>
                <w:color w:val="auto"/>
              </w:rPr>
            </w:pPr>
            <w:r>
              <w:rPr>
                <w:rFonts w:ascii="Arial" w:cs="Arial" w:eastAsia="Arial" w:hAnsi="Arial"/>
                <w:sz w:val="18"/>
                <w:szCs w:val="18"/>
                <w:color w:val="auto"/>
                <w:w w:val="97"/>
              </w:rPr>
              <w:t>billion in the fiscal year ended March 31, 2023 to $</w:t>
            </w:r>
          </w:p>
        </w:tc>
        <w:tc>
          <w:tcPr>
            <w:tcW w:w="5600" w:type="dxa"/>
            <w:vAlign w:val="bottom"/>
          </w:tcPr>
          <w:p>
            <w:pPr>
              <w:ind w:left="180"/>
              <w:spacing w:after="0"/>
              <w:rPr>
                <w:sz w:val="20"/>
                <w:szCs w:val="20"/>
                <w:color w:val="auto"/>
              </w:rPr>
            </w:pPr>
            <w:r>
              <w:rPr>
                <w:rFonts w:ascii="Arial" w:cs="Arial" w:eastAsia="Arial" w:hAnsi="Arial"/>
                <w:sz w:val="18"/>
                <w:szCs w:val="18"/>
                <w:color w:val="auto"/>
                <w:w w:val="94"/>
              </w:rPr>
              <w:t>billion in the fiscal year ending March 31, 2026, representing a CAGR of</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 over</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that period.</w:t>
            </w:r>
          </w:p>
        </w:tc>
        <w:tc>
          <w:tcPr>
            <w:tcW w:w="56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Networking Equipment</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Our networking equipment TAM includes chips deployed into wireless networking such as base-station equipment, enterprise Wi-Fi and edge networking, and wired networking equipment such as routers, switches and SmartNICs. The market is growing as more wired and wireless infrastructure is deployed, as much of the data</w:t>
      </w:r>
    </w:p>
    <w:p>
      <w:pPr>
        <w:spacing w:after="0" w:line="29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347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consumed in the cloud is created at the edge and needs to be transmitted over networks to the data center for processing. We expect the networking</w:t>
      </w:r>
    </w:p>
    <w:p>
      <w:pPr>
        <w:spacing w:after="0" w:line="46" w:lineRule="exact"/>
        <w:rPr>
          <w:sz w:val="20"/>
          <w:szCs w:val="20"/>
          <w:color w:val="auto"/>
        </w:rPr>
      </w:pPr>
    </w:p>
    <w:p>
      <w:pPr>
        <w:ind w:left="300" w:right="40"/>
        <w:spacing w:after="0" w:line="265" w:lineRule="auto"/>
        <w:rPr>
          <w:sz w:val="20"/>
          <w:szCs w:val="20"/>
          <w:color w:val="auto"/>
        </w:rPr>
      </w:pPr>
      <w:r>
        <w:rPr>
          <w:rFonts w:ascii="Arial" w:cs="Arial" w:eastAsia="Arial" w:hAnsi="Arial"/>
          <w:sz w:val="17"/>
          <w:szCs w:val="17"/>
          <w:color w:val="auto"/>
        </w:rPr>
        <w:t>equipment chip market to grow from approximately $ billion in the fiscal year ended March 31, 2023 to approximately $ billion in the fiscal year ending March 31, 2026, representing a CAGR of % over that period. Arm is poised to accelerate market-share gains resulting from</w:t>
      </w:r>
    </w:p>
    <w:p>
      <w:pPr>
        <w:ind w:left="300" w:right="580"/>
        <w:spacing w:after="0" w:line="255" w:lineRule="auto"/>
        <w:rPr>
          <w:sz w:val="20"/>
          <w:szCs w:val="20"/>
          <w:color w:val="auto"/>
        </w:rPr>
      </w:pPr>
      <w:r>
        <w:rPr>
          <w:rFonts w:ascii="Arial" w:cs="Arial" w:eastAsia="Arial" w:hAnsi="Arial"/>
          <w:sz w:val="18"/>
          <w:szCs w:val="18"/>
          <w:color w:val="auto"/>
        </w:rPr>
        <w:t>the deployment of 5G networks, as infrastructure scales from fewer large cell towers covering a wide area to a large number of small cells providing high-speed coverage, with a single architecture across both large and small cells to allow for flexible deployment of software and workloads.</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Cloud Servers</w:t>
      </w:r>
    </w:p>
    <w:p>
      <w:pPr>
        <w:spacing w:after="0" w:line="117" w:lineRule="exact"/>
        <w:rPr>
          <w:sz w:val="20"/>
          <w:szCs w:val="20"/>
          <w:color w:val="auto"/>
        </w:rPr>
      </w:pPr>
    </w:p>
    <w:p>
      <w:pPr>
        <w:ind w:left="300" w:right="360" w:firstLine="426"/>
        <w:spacing w:after="0" w:line="291" w:lineRule="auto"/>
        <w:rPr>
          <w:sz w:val="20"/>
          <w:szCs w:val="20"/>
          <w:color w:val="auto"/>
        </w:rPr>
      </w:pPr>
      <w:r>
        <w:rPr>
          <w:rFonts w:ascii="Arial" w:cs="Arial" w:eastAsia="Arial" w:hAnsi="Arial"/>
          <w:sz w:val="16"/>
          <w:szCs w:val="16"/>
          <w:color w:val="auto"/>
        </w:rPr>
        <w:t>The cloud server market includes the main server chips used by cloud service providers (“CSPs”) to run their operations. The increase in cloud computing has been driven by the rapid increase in data traffic generated by consumers and enterprises globally and by the migration of</w:t>
      </w:r>
    </w:p>
    <w:p>
      <w:pPr>
        <w:ind w:left="300" w:right="480"/>
        <w:spacing w:after="0" w:line="290" w:lineRule="auto"/>
        <w:rPr>
          <w:sz w:val="20"/>
          <w:szCs w:val="20"/>
          <w:color w:val="auto"/>
        </w:rPr>
      </w:pPr>
      <w:r>
        <w:rPr>
          <w:rFonts w:ascii="Arial" w:cs="Arial" w:eastAsia="Arial" w:hAnsi="Arial"/>
          <w:sz w:val="17"/>
          <w:szCs w:val="17"/>
          <w:color w:val="auto"/>
        </w:rPr>
        <w:t>enterprise workloads to the cloud. We expect the cloud server chip market to grow from approximately $ billion in the fiscal year ended March 31, 2023 to approximately $ billion in the fiscal year ending March 31, 2026, representing a CAGR of % over that period.</w:t>
      </w:r>
    </w:p>
    <w:p>
      <w:pPr>
        <w:spacing w:after="0" w:line="161"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Arm-based chips have been gaining market share as CSPs have started to deploy Arm products in their own in-house designed chips used in their data centers, and as others start to deploy chips designed by Arm licensees. As a result, we expect our market share of cloud servers to grow significantly faster than the overall cloud server market.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300" w:right="160" w:firstLine="426"/>
        <w:spacing w:after="0" w:line="287" w:lineRule="auto"/>
        <w:rPr>
          <w:sz w:val="20"/>
          <w:szCs w:val="20"/>
          <w:color w:val="auto"/>
        </w:rPr>
      </w:pPr>
      <w:r>
        <w:rPr>
          <w:rFonts w:ascii="Arial" w:cs="Arial" w:eastAsia="Arial" w:hAnsi="Arial"/>
          <w:sz w:val="16"/>
          <w:szCs w:val="16"/>
          <w:color w:val="auto"/>
        </w:rPr>
        <w:t>Our automotive TAM includes all chips with processors within vehicles. This includes chips used for IVI, ADAS, engine management, and body and chassis control. The automotive TAM is expected to increase as ADAS, electrification, IVI, and eventually autonomous driving, accelerate requirements for higher compute performance in newly manufactured vehicles. We expect the automotive chip market to grow from</w:t>
      </w:r>
    </w:p>
    <w:p>
      <w:pPr>
        <w:spacing w:after="0" w:line="2" w:lineRule="exact"/>
        <w:rPr>
          <w:sz w:val="20"/>
          <w:szCs w:val="20"/>
          <w:color w:val="auto"/>
        </w:rPr>
      </w:pPr>
    </w:p>
    <w:p>
      <w:pPr>
        <w:ind w:left="300" w:right="240"/>
        <w:spacing w:after="0" w:line="281" w:lineRule="auto"/>
        <w:rPr>
          <w:sz w:val="20"/>
          <w:szCs w:val="20"/>
          <w:color w:val="auto"/>
        </w:rPr>
      </w:pPr>
      <w:r>
        <w:rPr>
          <w:rFonts w:ascii="Arial" w:cs="Arial" w:eastAsia="Arial" w:hAnsi="Arial"/>
          <w:sz w:val="16"/>
          <w:szCs w:val="16"/>
          <w:color w:val="auto"/>
        </w:rPr>
        <w:t>approximately $ billion in the fiscal year ended March 31, 2023 to approximately $ billion in the fiscal year ending March 31, 2026, representing a CAGR of % over that period. Today, our market share in the automotive market is highest in more technologically advanced</w:t>
      </w:r>
    </w:p>
    <w:p>
      <w:pPr>
        <w:spacing w:after="0" w:line="1" w:lineRule="exact"/>
        <w:rPr>
          <w:sz w:val="20"/>
          <w:szCs w:val="20"/>
          <w:color w:val="auto"/>
        </w:rPr>
      </w:pPr>
    </w:p>
    <w:p>
      <w:pPr>
        <w:jc w:val="both"/>
        <w:ind w:left="300" w:right="140"/>
        <w:spacing w:after="0" w:line="255" w:lineRule="auto"/>
        <w:rPr>
          <w:sz w:val="20"/>
          <w:szCs w:val="20"/>
          <w:color w:val="auto"/>
        </w:rPr>
      </w:pPr>
      <w:r>
        <w:rPr>
          <w:rFonts w:ascii="Arial" w:cs="Arial" w:eastAsia="Arial" w:hAnsi="Arial"/>
          <w:sz w:val="18"/>
          <w:szCs w:val="18"/>
          <w:color w:val="auto"/>
        </w:rPr>
        <w:t>functional areas such as IVI and ADAS. As automotive electronics continue to transition from hardware-defined to software-defined architecture and compute, a trend that mirrors evolution of the smartphone, we believe we are well-positioned to outpace the growth of the overall automotive market.</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Model and Customers</w:t>
      </w:r>
    </w:p>
    <w:p>
      <w:pPr>
        <w:spacing w:after="0" w:line="121" w:lineRule="exact"/>
        <w:rPr>
          <w:sz w:val="20"/>
          <w:szCs w:val="20"/>
          <w:color w:val="auto"/>
        </w:rPr>
      </w:pPr>
    </w:p>
    <w:p>
      <w:pPr>
        <w:ind w:left="300" w:right="220" w:firstLine="426"/>
        <w:spacing w:after="0" w:line="293" w:lineRule="auto"/>
        <w:rPr>
          <w:sz w:val="20"/>
          <w:szCs w:val="20"/>
          <w:color w:val="auto"/>
        </w:rPr>
      </w:pPr>
      <w:r>
        <w:rPr>
          <w:rFonts w:ascii="Arial" w:cs="Arial" w:eastAsia="Arial" w:hAnsi="Arial"/>
          <w:sz w:val="16"/>
          <w:szCs w:val="16"/>
          <w:color w:val="auto"/>
        </w:rPr>
        <w:t>Our open and flexible business model provides access to high quality CPU products for a wide range of potential customer types and end markets. We license our products to semiconductor companies, OEMs, and other organizations to design their processors. Our customers license our products for a fee, which gives them access to our products and enables them to create Arm-based chips. Once a chip has been designed and manufactured with our products, we receive a per 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We have enjoyed success for more than 30 years by providing market-leading technology, adapting our solution to emerging market needs and building a software developer ecosystem unlike any other in history. Our competitive strengths include:</w:t>
      </w:r>
    </w:p>
    <w:p>
      <w:pPr>
        <w:spacing w:after="0" w:line="72" w:lineRule="exact"/>
        <w:rPr>
          <w:sz w:val="20"/>
          <w:szCs w:val="20"/>
          <w:color w:val="auto"/>
        </w:rPr>
      </w:pPr>
    </w:p>
    <w:p>
      <w:pPr>
        <w:ind w:left="1240" w:hanging="415"/>
        <w:spacing w:after="0" w:line="282"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Leadership with Proven Capabilities Across Markets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Arm’s CPU technology has been an industry leader for many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continues to be the most widely deployed architecture globally.</w:t>
      </w:r>
    </w:p>
    <w:p>
      <w:pPr>
        <w:spacing w:after="0" w:line="27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56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312" w:lineRule="exact"/>
        <w:rPr>
          <w:sz w:val="20"/>
          <w:szCs w:val="20"/>
          <w:color w:val="auto"/>
        </w:rPr>
      </w:pPr>
    </w:p>
    <w:p>
      <w:pPr>
        <w:ind w:left="1240" w:right="180"/>
        <w:spacing w:after="0" w:line="257" w:lineRule="auto"/>
        <w:rPr>
          <w:sz w:val="20"/>
          <w:szCs w:val="20"/>
          <w:color w:val="auto"/>
        </w:rPr>
      </w:pPr>
      <w:r>
        <w:rPr>
          <w:rFonts w:ascii="Arial" w:cs="Arial" w:eastAsia="Arial" w:hAnsi="Arial"/>
          <w:sz w:val="18"/>
          <w:szCs w:val="18"/>
          <w:color w:val="auto"/>
        </w:rPr>
        <w:t>We estimate that Arm had an approximate 49% market share by value in the calendar year ended December 31, 2022, up from approximately 39% in the calendar year ended December 31, 2014. Our products are used in virtually all smartphones, a majority of tablets and digital TVs, and a significant proportion of all chips with embedded processors. We have an established presence in the cloud market, working with many of the largest hyperscalers, and in the automotive market, we work with leading OEMs and suppliers.</w:t>
      </w:r>
    </w:p>
    <w:p>
      <w:pPr>
        <w:spacing w:after="0" w:line="89" w:lineRule="exact"/>
        <w:rPr>
          <w:sz w:val="20"/>
          <w:szCs w:val="20"/>
          <w:color w:val="auto"/>
        </w:rPr>
      </w:pPr>
    </w:p>
    <w:p>
      <w:pPr>
        <w:ind w:left="1240" w:hanging="415"/>
        <w:spacing w:after="0" w:line="272"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World’s Most Extensive Ecosystem of Third-Party Software and Hardware Partners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Arm has the world’s largest ecosystem of third-party software and hardware partners, including chip design and verification tools vendors, advanced fabrication, OS and application vendors, software tools providers, and training and support services companies. As of March 31, 2023, more than 1,000 partner companies were invested in developing products that complement Arm’s technology and there were more than 8 million apps running on Arm-based devices built by more than 15 million developers designing software for Arm-based systems. The breadth of our ecosystem creates a virtuous cycle that benefits our customers and deeply integrates us into the design cycle because it is difficult to create a commercial product or service for a particular end market until all elements of the hardware and supporting software and tools ecosystem are available.</w:t>
      </w:r>
    </w:p>
    <w:p>
      <w:pPr>
        <w:spacing w:after="0" w:line="77" w:lineRule="exact"/>
        <w:rPr>
          <w:rFonts w:ascii="Arial" w:cs="Arial" w:eastAsia="Arial" w:hAnsi="Arial"/>
          <w:sz w:val="17"/>
          <w:szCs w:val="17"/>
          <w:color w:val="auto"/>
        </w:rPr>
      </w:pPr>
    </w:p>
    <w:p>
      <w:pPr>
        <w:ind w:left="1240" w:right="240" w:hanging="415"/>
        <w:spacing w:after="0" w:line="271"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Deep Integration with Customers and Ecosystem Partners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work closely with our customers and ecosystem partners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understand future industry trends and the evolution of end markets. We have worked in partnership with our top 10 customers by royalty revenue, for the fiscal year ended March 31, 2023, for an average of over 20 years. When a major semiconductor company licenses Arm products to deploy in their product roadmap, they are committing to use Arm products in multiple generations of their future chips. This requires us to not only work closely with our direct customers, but also with other elements of the ecosystem to understand and align product plans. Our collaborative relationships with partners in our extensive ecosystem, including companies that contribute design tools, manufacturing capabilities, software and other components, provide us with unique insights across the entire semiconductor industry, enabling us to invest in developing new products years, and sometimes up to a decade, before the products are deployed to end-users.</w:t>
      </w:r>
    </w:p>
    <w:p>
      <w:pPr>
        <w:spacing w:after="0" w:line="83" w:lineRule="exact"/>
        <w:rPr>
          <w:rFonts w:ascii="Arial" w:cs="Arial" w:eastAsia="Arial" w:hAnsi="Arial"/>
          <w:sz w:val="17"/>
          <w:szCs w:val="17"/>
          <w:color w:val="auto"/>
        </w:rPr>
      </w:pPr>
    </w:p>
    <w:p>
      <w:pPr>
        <w:ind w:left="1240" w:hanging="415"/>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Efficient Model and Long-Term Visibility Enables Investment in Future Products. </w:t>
      </w:r>
      <w:r>
        <w:rPr>
          <w:rFonts w:ascii="Arial" w:cs="Arial" w:eastAsia="Arial" w:hAnsi="Arial"/>
          <w:sz w:val="17"/>
          <w:szCs w:val="17"/>
          <w:color w:val="auto"/>
        </w:rPr>
        <w:t>Our business model provides significant</w:t>
      </w:r>
    </w:p>
    <w:p>
      <w:pPr>
        <w:spacing w:after="0" w:line="35" w:lineRule="exact"/>
        <w:rPr>
          <w:sz w:val="20"/>
          <w:szCs w:val="20"/>
          <w:color w:val="auto"/>
        </w:rPr>
      </w:pPr>
    </w:p>
    <w:p>
      <w:pPr>
        <w:ind w:left="1240" w:right="480"/>
        <w:spacing w:after="0" w:line="281" w:lineRule="auto"/>
        <w:rPr>
          <w:sz w:val="20"/>
          <w:szCs w:val="20"/>
          <w:color w:val="auto"/>
        </w:rPr>
      </w:pPr>
      <w:r>
        <w:rPr>
          <w:rFonts w:ascii="Arial" w:cs="Arial" w:eastAsia="Arial" w:hAnsi="Arial"/>
          <w:sz w:val="16"/>
          <w:szCs w:val="16"/>
          <w:color w:val="auto"/>
        </w:rPr>
        <w:t>flexibility to fund long-term investments in future products. We have a capital-light and people-focused model, with most of our investments directed at hiring and retaining engineers undertaking advanced research and development. In the fiscal year ended</w:t>
      </w:r>
    </w:p>
    <w:p>
      <w:pPr>
        <w:spacing w:after="0" w:line="1" w:lineRule="exact"/>
        <w:rPr>
          <w:sz w:val="20"/>
          <w:szCs w:val="20"/>
          <w:color w:val="auto"/>
        </w:rPr>
      </w:pPr>
    </w:p>
    <w:p>
      <w:pPr>
        <w:ind w:left="1240" w:right="280"/>
        <w:spacing w:after="0" w:line="270" w:lineRule="auto"/>
        <w:rPr>
          <w:sz w:val="20"/>
          <w:szCs w:val="20"/>
          <w:color w:val="auto"/>
        </w:rPr>
      </w:pPr>
      <w:r>
        <w:rPr>
          <w:rFonts w:ascii="Arial" w:cs="Arial" w:eastAsia="Arial" w:hAnsi="Arial"/>
          <w:sz w:val="17"/>
          <w:szCs w:val="17"/>
          <w:color w:val="auto"/>
        </w:rPr>
        <w:t>March 31, 2023, we generated % gross margins, allowing us to fund extensive investments in research and development for products that will be licensed in the future, with royalty fees to follow for years, and often decades,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 Some products continue to generate royalty revenue even after 25 years following their initial development.</w:t>
      </w:r>
    </w:p>
    <w:p>
      <w:pPr>
        <w:spacing w:after="0" w:line="84" w:lineRule="exact"/>
        <w:rPr>
          <w:sz w:val="20"/>
          <w:szCs w:val="20"/>
          <w:color w:val="auto"/>
        </w:rPr>
      </w:pPr>
    </w:p>
    <w:p>
      <w:pPr>
        <w:ind w:left="1240" w:right="40" w:hanging="415"/>
        <w:spacing w:after="0" w:line="291"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Satisfy our Customers’ Processor Design Needs in a Mutually Beneficial Way. </w:t>
      </w:r>
      <w:r>
        <w:rPr>
          <w:rFonts w:ascii="Arial" w:cs="Arial" w:eastAsia="Arial" w:hAnsi="Arial"/>
          <w:sz w:val="16"/>
          <w:szCs w:val="16"/>
          <w:color w:val="auto"/>
        </w:rPr>
        <w:t>We invest extensively in creating leading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that can be used across a wide range of end markets and customers. As we expect to license our products to multiple customers, we can typically cover the entire cost of developing new Arm products by charging each customer only a portion of the total development costs. The ability to spread costs over multiple customers lowers the costs for the semiconductor designer to license Arm products, versus developing the technology in-house, and enables customers to focus resources on true competitive differentiation unique to their business. In addition, by licensing Arm CPU technology, the licensee immediately gains access to the vast Arm ecosystem, which would be impossible to leverage if they developed their own CPU in house.</w:t>
      </w:r>
    </w:p>
    <w:p>
      <w:pPr>
        <w:spacing w:after="0" w:line="27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619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312" w:lineRule="exact"/>
        <w:rPr>
          <w:sz w:val="20"/>
          <w:szCs w:val="20"/>
          <w:color w:val="auto"/>
        </w:rPr>
      </w:pPr>
    </w:p>
    <w:p>
      <w:pPr>
        <w:ind w:left="1240" w:hanging="415"/>
        <w:spacing w:after="0" w:line="270"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World-Class R&amp;D Team with a Proven Track Record of Innovation. </w:t>
      </w:r>
      <w:r>
        <w:rPr>
          <w:rFonts w:ascii="Arial" w:cs="Arial" w:eastAsia="Arial" w:hAnsi="Arial"/>
          <w:sz w:val="17"/>
          <w:szCs w:val="17"/>
          <w:color w:val="auto"/>
        </w:rPr>
        <w:t>We are an engineering-first company, with 4,753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or approximately 80% of our global employees, as of March 31, 2023, focused on research, design, and technical innovation. Our customers rely on us to deliver advanced technology, leveraging our extensive capabilities and differentiated scale across our CPU, GPU, systems, and platform products. Our culture encourages cross collaboration between teams and individuals, and we highly value collective effort. As a result of our unique reach and impact, we are able to attract and retain some of the brightest semiconductor engineers in the world. Our research and development team is prolific at developing new inventions, for which we seek patents to the greatest extent possible. As of March 31, 2023, we owned or co-owned a portfolio of approximately 6,800 issued patents and had approximately 2,700 patent applications pending worldwide, many of which are relevant to the key technologies used in many of the chips manufactured today.</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left="300" w:right="60"/>
        <w:spacing w:after="0" w:line="263" w:lineRule="auto"/>
        <w:rPr>
          <w:sz w:val="20"/>
          <w:szCs w:val="20"/>
          <w:color w:val="auto"/>
        </w:rPr>
      </w:pPr>
      <w:r>
        <w:rPr>
          <w:rFonts w:ascii="Arial" w:cs="Arial" w:eastAsia="Arial" w:hAnsi="Arial"/>
          <w:sz w:val="18"/>
          <w:szCs w:val="18"/>
          <w:color w:val="auto"/>
        </w:rPr>
        <w:t>We assess our investments through the lens of sustainable growth. While our research and development and new business initiatives are often tied to revenue streams five to ten years in the future, the efficiency of our business and the revenue from our historical investments enable profitability and cash flow generation today. Key levers of our growth strategy are:</w:t>
      </w:r>
    </w:p>
    <w:p>
      <w:pPr>
        <w:spacing w:after="0" w:line="89" w:lineRule="exact"/>
        <w:rPr>
          <w:sz w:val="20"/>
          <w:szCs w:val="20"/>
          <w:color w:val="auto"/>
        </w:rPr>
      </w:pPr>
    </w:p>
    <w:p>
      <w:pPr>
        <w:ind w:left="1240" w:hanging="415"/>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Gain or Maintain Share in Long-Term Growth Markets. </w:t>
      </w:r>
      <w:r>
        <w:rPr>
          <w:rFonts w:ascii="Arial" w:cs="Arial" w:eastAsia="Arial" w:hAnsi="Arial"/>
          <w:sz w:val="16"/>
          <w:szCs w:val="16"/>
          <w:color w:val="auto"/>
        </w:rPr>
        <w:t>We already have significant market share in some high-value markets, such</w:t>
      </w:r>
    </w:p>
    <w:p>
      <w:pPr>
        <w:sectPr>
          <w:pgSz w:w="11900" w:h="16838" w:orient="portrait"/>
          <w:cols w:equalWidth="0" w:num="1">
            <w:col w:w="10940"/>
          </w:cols>
          <w:pgMar w:left="320" w:top="459" w:right="639" w:bottom="1440" w:gutter="0" w:footer="0" w:header="0"/>
        </w:sectPr>
      </w:pPr>
    </w:p>
    <w:p>
      <w:pPr>
        <w:spacing w:after="0" w:line="46" w:lineRule="exact"/>
        <w:rPr>
          <w:sz w:val="20"/>
          <w:szCs w:val="20"/>
          <w:color w:val="auto"/>
        </w:rPr>
      </w:pPr>
    </w:p>
    <w:p>
      <w:pPr>
        <w:ind w:left="1240" w:right="160"/>
        <w:spacing w:after="0" w:line="265" w:lineRule="auto"/>
        <w:rPr>
          <w:sz w:val="20"/>
          <w:szCs w:val="20"/>
          <w:color w:val="auto"/>
        </w:rPr>
      </w:pPr>
      <w:r>
        <w:rPr>
          <w:rFonts w:ascii="Arial" w:cs="Arial" w:eastAsia="Arial" w:hAnsi="Arial"/>
          <w:sz w:val="17"/>
          <w:szCs w:val="17"/>
          <w:color w:val="auto"/>
        </w:rPr>
        <w:t>as mobile applications processors, which enables us to invest in other growth opportunities. As of , our market share in growth markets, including cloud computing, networking equipment, automotive and consumer electronics, was %, %, %, and</w:t>
      </w:r>
    </w:p>
    <w:p>
      <w:pPr>
        <w:sectPr>
          <w:pgSz w:w="11900" w:h="16838" w:orient="portrait"/>
          <w:cols w:equalWidth="0" w:num="1">
            <w:col w:w="10940"/>
          </w:cols>
          <w:pgMar w:left="320" w:top="459" w:right="639" w:bottom="1440" w:gutter="0" w:footer="0" w:header="0"/>
          <w:type w:val="continuous"/>
        </w:sectPr>
      </w:pPr>
    </w:p>
    <w:p>
      <w:pPr>
        <w:ind w:left="1240" w:right="180" w:firstLine="360"/>
        <w:spacing w:after="0" w:line="260" w:lineRule="auto"/>
        <w:rPr>
          <w:sz w:val="20"/>
          <w:szCs w:val="20"/>
          <w:color w:val="auto"/>
        </w:rPr>
      </w:pPr>
      <w:r>
        <w:rPr>
          <w:rFonts w:ascii="Arial" w:cs="Arial" w:eastAsia="Arial" w:hAnsi="Arial"/>
          <w:sz w:val="18"/>
          <w:szCs w:val="18"/>
          <w:color w:val="auto"/>
        </w:rPr>
        <w:t>%, respectively. We believe that the increasing need for high-powered and energy-efficient computing, as well as our continued investments, will enable us to grow our market share in these segments.</w:t>
      </w:r>
    </w:p>
    <w:p>
      <w:pPr>
        <w:spacing w:after="0" w:line="91" w:lineRule="exact"/>
        <w:rPr>
          <w:sz w:val="20"/>
          <w:szCs w:val="20"/>
          <w:color w:val="auto"/>
        </w:rPr>
      </w:pPr>
    </w:p>
    <w:p>
      <w:pPr>
        <w:ind w:left="1240" w:right="80" w:hanging="415"/>
        <w:spacing w:after="0" w:line="301"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Increase the Value of Arm Processors in Every Smart Device</w:t>
      </w:r>
      <w:r>
        <w:rPr>
          <w:rFonts w:ascii="Arial" w:cs="Arial" w:eastAsia="Arial" w:hAnsi="Arial"/>
          <w:sz w:val="16"/>
          <w:szCs w:val="16"/>
          <w:color w:val="auto"/>
        </w:rPr>
        <w:t>. As chip designs become more advanced and complex, we believe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investments in additional functionality, higher performance, higher efficiency, and more specialized designs will allow us to deliver more value to our customers. These innovations enable us to license more advanced Arm products, and for our customers to implement Arm-based chips with multiple CPUs and more cores, all of which allow us to capture more value per chip.</w:t>
      </w:r>
    </w:p>
    <w:p>
      <w:pPr>
        <w:spacing w:after="0" w:line="62" w:lineRule="exact"/>
        <w:rPr>
          <w:rFonts w:ascii="Arial" w:cs="Arial" w:eastAsia="Arial" w:hAnsi="Arial"/>
          <w:sz w:val="16"/>
          <w:szCs w:val="16"/>
          <w:color w:val="auto"/>
        </w:rPr>
      </w:pPr>
    </w:p>
    <w:p>
      <w:pPr>
        <w:ind w:left="1240" w:right="120" w:hanging="415"/>
        <w:spacing w:after="0" w:line="291"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System IP and SoC Offerings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enable further improvements in performance and efficiency, we continue to develop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broader set of configurable systems IP offerings including proven on-chip interconnect, security IP, memory controllers, and other design IP to be used with our processors. More recently, we have invested in a holistic, solution-focused approach to design, expanding beyond individual design IP elements to providing a more complete system. By delivering SoC solutions optimized for specific use cases, we can ensure that the entire system works together seamlessly to provide maximum performance and efficiency. At the same time, by designing an increasingly greater portion of the overall chip design, we are further reducing incremental development investment and risk borne by our customers while also enabling us to capture more value per device.</w:t>
      </w:r>
    </w:p>
    <w:p>
      <w:pPr>
        <w:spacing w:after="0" w:line="71" w:lineRule="exact"/>
        <w:rPr>
          <w:rFonts w:ascii="Arial" w:cs="Arial" w:eastAsia="Arial" w:hAnsi="Arial"/>
          <w:sz w:val="16"/>
          <w:szCs w:val="16"/>
          <w:color w:val="auto"/>
        </w:rPr>
      </w:pPr>
    </w:p>
    <w:p>
      <w:pPr>
        <w:ind w:left="1240" w:right="40" w:hanging="415"/>
        <w:spacing w:after="0" w:line="273"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 in Next-Generation Technologies. </w:t>
      </w:r>
      <w:r>
        <w:rPr>
          <w:rFonts w:ascii="Arial" w:cs="Arial" w:eastAsia="Arial" w:hAnsi="Arial"/>
          <w:sz w:val="17"/>
          <w:szCs w:val="17"/>
          <w:color w:val="auto"/>
        </w:rPr>
        <w:t>We continuously evaluate emerging markets and technologies that may enable us to create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advanced products that bring more value to our customers and ecosystem. For example, we are leading the way in integrating AI and ML capabilities across all devices through our highly scalable architecture. All modern smartphones are AI and ML capable by virtue of their Arm processors, and we are increasingly working with companies in other markets, such as consumer electronics and automotive, to deploy AI-based solutions. For the networking, cloud and data center markets, we continue to add AI-specific features to our CPUs to enable market-leading performance.</w:t>
      </w:r>
    </w:p>
    <w:p>
      <w:pPr>
        <w:spacing w:after="0" w:line="2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35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312" w:lineRule="exact"/>
        <w:rPr>
          <w:sz w:val="20"/>
          <w:szCs w:val="20"/>
          <w:color w:val="auto"/>
        </w:rPr>
      </w:pPr>
    </w:p>
    <w:p>
      <w:pPr>
        <w:ind w:left="1240" w:right="80" w:hanging="415"/>
        <w:spacing w:after="0" w:line="273"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Benefit from the Flexibility of Arm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Arm processor provides a certain compute capability within a power budget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such, can be used in multiple different devices that have similar compute requirements. An Arm customer who may have designed a processor for one application may, in the future, find additional applications that can utilize this technology. Consequently, Arm products may be used in new products for new end markets for many years or, in some cases, decades. For example, a processor originally licensed to go into a chip for a smartphone can also be used in a chip for a tablet, digital TV, or smart speaker. We expect this trend to continue with the growing proliferation of devices and use cases.</w:t>
      </w:r>
    </w:p>
    <w:p>
      <w:pPr>
        <w:spacing w:after="0" w:line="83" w:lineRule="exact"/>
        <w:rPr>
          <w:rFonts w:ascii="Arial" w:cs="Arial" w:eastAsia="Arial" w:hAnsi="Arial"/>
          <w:sz w:val="17"/>
          <w:szCs w:val="17"/>
          <w:color w:val="auto"/>
        </w:rPr>
      </w:pPr>
    </w:p>
    <w:p>
      <w:pPr>
        <w:ind w:left="1240" w:hanging="415"/>
        <w:spacing w:after="0" w:line="271"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Access to Arm Products Through our Flexible Business Model. </w:t>
      </w:r>
      <w:r>
        <w:rPr>
          <w:rFonts w:ascii="Arial" w:cs="Arial" w:eastAsia="Arial" w:hAnsi="Arial"/>
          <w:sz w:val="17"/>
          <w:szCs w:val="17"/>
          <w:color w:val="auto"/>
        </w:rPr>
        <w:t>We are focused on making Arm products as easy as possible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access and to integrate into a chip design. We continuously assess ways to expand our flexible engagement model to provide all companies with easy access to Arm products, including low- and no-cost offerings for startups. In recent years and with a growing portfolio of new products, we have started to move customers onto product portfolio licenses, where each customer will gain access to a broad portfolio of Arm products. Our business model makes licensing our products much easier by allowing our customers to quickly gain access to Arm products. We believe our business model will encourage customer experimentation and result in a broader range of Arm features being used. Our business model is also designed to provide better alignment between pricing and the value delivered by us across low- and high-end devices.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Arm Holdings plc was incorporated as a private limited company with the legal name Arm Holdings Limited under the laws of England and</w:t>
      </w:r>
    </w:p>
    <w:p>
      <w:pPr>
        <w:spacing w:after="0" w:line="46" w:lineRule="exact"/>
        <w:rPr>
          <w:sz w:val="20"/>
          <w:szCs w:val="20"/>
          <w:color w:val="auto"/>
        </w:rPr>
      </w:pPr>
    </w:p>
    <w:p>
      <w:pPr>
        <w:ind w:left="300" w:right="200"/>
        <w:spacing w:after="0" w:line="260" w:lineRule="auto"/>
        <w:rPr>
          <w:sz w:val="20"/>
          <w:szCs w:val="20"/>
          <w:color w:val="auto"/>
        </w:rPr>
      </w:pPr>
      <w:r>
        <w:rPr>
          <w:rFonts w:ascii="Arial" w:cs="Arial" w:eastAsia="Arial" w:hAnsi="Arial"/>
          <w:sz w:val="18"/>
          <w:szCs w:val="18"/>
          <w:color w:val="auto"/>
        </w:rPr>
        <w:t>Wales on April 9, 2018, with the company number 11299879. Arm Holdings Limited re-registered as a public limited company on , 2023 and changed its name to Arm Holdings plc.</w:t>
      </w:r>
    </w:p>
    <w:p>
      <w:pPr>
        <w:spacing w:after="0" w:line="185"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which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On March 19, 2018, as a part of a reorganization, Arm Holdings plc with the company number 02548782 re-registered as a private limited company and was renamed SVF HoldCo (UK) Limited, which became a subsidiary of SoftBank Vision Fund. Our registered office is 110 Fulbourn Road, Cambridge, Cambridgeshire, CB1 9NJ, U.K., and the telephone number at that office is +44 (1223) 400 400.</w:t>
      </w:r>
    </w:p>
    <w:p>
      <w:pPr>
        <w:spacing w:after="0" w:line="178"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principal office for Arm Inc., our U.S. subsidiary, is located at 120 Rose Orchard Way, San Jose, CA 95134, and our telephone number at that office is +1 (408) 576-1500.</w:t>
      </w:r>
    </w:p>
    <w:p>
      <w:pPr>
        <w:spacing w:after="0" w:line="170" w:lineRule="exact"/>
        <w:rPr>
          <w:sz w:val="20"/>
          <w:szCs w:val="20"/>
          <w:color w:val="auto"/>
        </w:rPr>
      </w:pPr>
    </w:p>
    <w:p>
      <w:pPr>
        <w:ind w:left="300" w:right="280" w:firstLine="426"/>
        <w:spacing w:after="0" w:line="311" w:lineRule="auto"/>
        <w:rPr>
          <w:sz w:val="20"/>
          <w:szCs w:val="20"/>
          <w:color w:val="auto"/>
        </w:rPr>
      </w:pPr>
      <w:r>
        <w:rPr>
          <w:rFonts w:ascii="Arial" w:cs="Arial" w:eastAsia="Arial" w:hAnsi="Arial"/>
          <w:sz w:val="16"/>
          <w:szCs w:val="16"/>
          <w:color w:val="auto"/>
        </w:rPr>
        <w:t>Our website address is www.arm.com. We have included our website address in this prospectus solely as an inactive textual reference. Information contained on, or that can be accessed through, our website is not incorporated by reference into this prospectus, and you should not consider information on our website to be part of this prospectus. Our agent for service of process in the United States is Arm, Inc.</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Reorganization</w:t>
      </w:r>
    </w:p>
    <w:p>
      <w:pPr>
        <w:spacing w:after="0" w:line="121"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Prior to the completion of this offering, we undertook a corporate reorganization pursuant to which Arm Holdings Limited acquired all the issued ordinary shares of Arm Limited. In connection with the corporate</w:t>
      </w:r>
    </w:p>
    <w:p>
      <w:pPr>
        <w:spacing w:after="0" w:line="27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44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312" w:lineRule="exact"/>
        <w:rPr>
          <w:sz w:val="20"/>
          <w:szCs w:val="20"/>
          <w:color w:val="auto"/>
        </w:rPr>
      </w:pPr>
    </w:p>
    <w:p>
      <w:pPr>
        <w:ind w:left="300" w:right="320"/>
        <w:spacing w:after="0" w:line="291" w:lineRule="auto"/>
        <w:rPr>
          <w:sz w:val="20"/>
          <w:szCs w:val="20"/>
          <w:color w:val="auto"/>
        </w:rPr>
      </w:pPr>
      <w:r>
        <w:rPr>
          <w:rFonts w:ascii="Arial" w:cs="Arial" w:eastAsia="Arial" w:hAnsi="Arial"/>
          <w:sz w:val="16"/>
          <w:szCs w:val="16"/>
          <w:color w:val="auto"/>
        </w:rPr>
        <w:t>reorganization, the shareholders of Arm Limited exchanged each of the ordinary shares held by them in Arm Limited for newly issued ordinary shares of Arm Holdings Limited of the same class and in the same proportions as their previous shareholding in Arm Limited. As a result, Arm</w:t>
      </w:r>
    </w:p>
    <w:p>
      <w:pPr>
        <w:ind w:left="300"/>
        <w:spacing w:after="0" w:line="255" w:lineRule="auto"/>
        <w:rPr>
          <w:sz w:val="20"/>
          <w:szCs w:val="20"/>
          <w:color w:val="auto"/>
        </w:rPr>
      </w:pPr>
      <w:r>
        <w:rPr>
          <w:rFonts w:ascii="Arial" w:cs="Arial" w:eastAsia="Arial" w:hAnsi="Arial"/>
          <w:sz w:val="18"/>
          <w:szCs w:val="18"/>
          <w:color w:val="auto"/>
        </w:rPr>
        <w:t>Limited became a wholly-owned subsidiary of Arm Holdings Limited. On , 2023, Arm Holdings Limited re-registered as a public limited company and changed its name from Arm Holdings Limited to Arm Holdings plc. The consolidated financial statements included in this prospectus do not show the effect of the corporate reorganization. See “Corporate Reorganization” for more information.</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in the section titled “Risk Factors” before deciding whether to invest in our ADSs. Among these important risks are the following: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Relating to Our Business and Industry</w:t>
      </w:r>
    </w:p>
    <w:p>
      <w:pPr>
        <w:spacing w:after="0" w:line="131" w:lineRule="exact"/>
        <w:rPr>
          <w:sz w:val="20"/>
          <w:szCs w:val="20"/>
          <w:color w:val="auto"/>
        </w:rPr>
      </w:pPr>
    </w:p>
    <w:p>
      <w:pPr>
        <w:ind w:left="1240" w:right="4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our products and services primarily depends on trends in the semiconductor and electronics industries and the demand for the products of our customers and our customers’ customers.</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our products and services depends on their acceptance by semiconductor and systems companies and their compatibility with, and the costs of, the design and manufacturing processes of our customers.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w:t>
      </w:r>
    </w:p>
    <w:p>
      <w:pPr>
        <w:spacing w:after="0" w:line="130"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attract new customers and sell additional products to our existing customers, our business, results of operations, financial condition and prospects may be materially and adversely affected.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rely on third parties to market and sell products incorporating our products and to enhance the value of our licensed products.</w:t>
      </w:r>
    </w:p>
    <w:p>
      <w:pPr>
        <w:spacing w:after="0" w:line="153" w:lineRule="exact"/>
        <w:rPr>
          <w:rFonts w:ascii="Arial" w:cs="Arial" w:eastAsia="Arial" w:hAnsi="Arial"/>
          <w:sz w:val="16"/>
          <w:szCs w:val="16"/>
          <w:color w:val="auto"/>
        </w:rPr>
      </w:pPr>
    </w:p>
    <w:p>
      <w:pPr>
        <w:ind w:left="1240" w:right="74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results of operations, particularly our licensing and royalty revenues, can vary significantly between periods and may be unpredictable.</w:t>
      </w:r>
    </w:p>
    <w:p>
      <w:pPr>
        <w:spacing w:after="0" w:line="75"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Customers may decide to license our architecture and develop their own processors based on our architecture, rather than utilize our processor products pursuant to an implementation license.</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portion of our total revenue comes from a limited number of customers, which exposes us to greater risks than if our customer base were more diversified.</w:t>
      </w:r>
    </w:p>
    <w:p>
      <w:pPr>
        <w:spacing w:after="0" w:line="75" w:lineRule="exact"/>
        <w:rPr>
          <w:rFonts w:ascii="Arial" w:cs="Arial" w:eastAsia="Arial" w:hAnsi="Arial"/>
          <w:sz w:val="18"/>
          <w:szCs w:val="18"/>
          <w:color w:val="auto"/>
        </w:rPr>
      </w:pPr>
    </w:p>
    <w:p>
      <w:pPr>
        <w:ind w:left="1240" w:right="72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Consolidation in the semiconductor and electronics industries could have a material adverse effect on our business, results of operations, financial condition and prospects.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revenues predominantly come from a limited number of end markets.</w:t>
      </w:r>
    </w:p>
    <w:p>
      <w:pPr>
        <w:spacing w:after="0" w:line="130"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develop new products in response to, or in anticipation of, rapid technological changes in our industry or the industries we serve, our business may be materially and adversely affected.</w:t>
      </w:r>
    </w:p>
    <w:p>
      <w:pPr>
        <w:spacing w:after="0" w:line="75" w:lineRule="exact"/>
        <w:rPr>
          <w:rFonts w:ascii="Arial" w:cs="Arial" w:eastAsia="Arial" w:hAnsi="Arial"/>
          <w:sz w:val="18"/>
          <w:szCs w:val="18"/>
          <w:color w:val="auto"/>
        </w:rPr>
      </w:pPr>
    </w:p>
    <w:p>
      <w:pPr>
        <w:ind w:left="1240" w:right="380" w:hanging="415"/>
        <w:spacing w:after="0" w:line="342" w:lineRule="auto"/>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concentration of revenue from the PRC market makes us particularly susceptible to economic and political risks affecting the PRC, which could be exacerbated by tensions between the U.S. and the PRC with respect to trade and national security.</w:t>
      </w:r>
    </w:p>
    <w:p>
      <w:pPr>
        <w:spacing w:after="0" w:line="29" w:lineRule="exact"/>
        <w:rPr>
          <w:rFonts w:ascii="Arial" w:cs="Arial" w:eastAsia="Arial" w:hAnsi="Arial"/>
          <w:sz w:val="16"/>
          <w:szCs w:val="16"/>
          <w:color w:val="auto"/>
        </w:rPr>
      </w:pPr>
    </w:p>
    <w:p>
      <w:pPr>
        <w:ind w:left="1240" w:right="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new products requires us to expend significant resources without assurances that we will generate revenue in the amounts we anticipate, on the expected timeline or at all.</w:t>
      </w: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760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312" w:lineRule="exact"/>
        <w:rPr>
          <w:sz w:val="20"/>
          <w:szCs w:val="20"/>
          <w:color w:val="auto"/>
        </w:rPr>
      </w:pPr>
    </w:p>
    <w:p>
      <w:pPr>
        <w:ind w:left="1240" w:right="480" w:hanging="415"/>
        <w:spacing w:after="0" w:line="308"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depend on our commercial relationship with Arm China to access the PRC market. If that commercial relationship no longer existed or deteriorates, our ability to compete in the PRC market could be materially and adversely affected.</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we nor SoftBank controls the operations of Arm China, which operates independently of us.</w:t>
      </w:r>
    </w:p>
    <w:p>
      <w:pPr>
        <w:spacing w:after="0" w:line="130"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and future operating results may be materially and adversely affected by global economic conditions and other events outside of our control.</w:t>
      </w:r>
    </w:p>
    <w:p>
      <w:pPr>
        <w:spacing w:after="0" w:line="75" w:lineRule="exact"/>
        <w:rPr>
          <w:rFonts w:ascii="Arial" w:cs="Arial" w:eastAsia="Arial" w:hAnsi="Arial"/>
          <w:sz w:val="18"/>
          <w:szCs w:val="18"/>
          <w:color w:val="auto"/>
        </w:rPr>
      </w:pPr>
    </w:p>
    <w:p>
      <w:pPr>
        <w:ind w:left="1240" w:right="600" w:hanging="415"/>
        <w:spacing w:after="0" w:line="286"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70" w:lineRule="exact"/>
        <w:rPr>
          <w:rFonts w:ascii="Arial" w:cs="Arial" w:eastAsia="Arial" w:hAnsi="Arial"/>
          <w:sz w:val="17"/>
          <w:szCs w:val="17"/>
          <w:color w:val="auto"/>
        </w:rPr>
      </w:pPr>
    </w:p>
    <w:p>
      <w:pPr>
        <w:ind w:left="1240" w:right="16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products do not conform to, or are not compatible with, existing or emerging industry standards, demand for our products may decrease.</w:t>
      </w:r>
    </w:p>
    <w:p>
      <w:pPr>
        <w:spacing w:after="0" w:line="75" w:lineRule="exact"/>
        <w:rPr>
          <w:rFonts w:ascii="Arial" w:cs="Arial" w:eastAsia="Arial" w:hAnsi="Arial"/>
          <w:sz w:val="18"/>
          <w:szCs w:val="18"/>
          <w:color w:val="auto"/>
        </w:rPr>
      </w:pPr>
    </w:p>
    <w:p>
      <w:pPr>
        <w:jc w:val="both"/>
        <w:ind w:left="1240" w:right="40" w:hanging="415"/>
        <w:spacing w:after="0" w:line="263"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89"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sued by third parties for alleged infringement, misappropriation or other violation of their IP rights or proprietary rights and our defense against these claims can be costly.</w:t>
      </w:r>
    </w:p>
    <w:p>
      <w:pPr>
        <w:spacing w:after="0" w:line="75"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75" w:lineRule="exact"/>
        <w:rPr>
          <w:rFonts w:ascii="Arial" w:cs="Arial" w:eastAsia="Arial" w:hAnsi="Arial"/>
          <w:sz w:val="18"/>
          <w:szCs w:val="18"/>
          <w:color w:val="auto"/>
        </w:rPr>
      </w:pPr>
    </w:p>
    <w:p>
      <w:pPr>
        <w:ind w:left="1240" w:right="60" w:hanging="415"/>
        <w:spacing w:after="0" w:line="301"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Relating to Government Regulation and Legal Compliance</w:t>
      </w:r>
    </w:p>
    <w:p>
      <w:pPr>
        <w:spacing w:after="0" w:line="131" w:lineRule="exact"/>
        <w:rPr>
          <w:sz w:val="20"/>
          <w:szCs w:val="20"/>
          <w:color w:val="auto"/>
        </w:rPr>
      </w:pPr>
    </w:p>
    <w:p>
      <w:pPr>
        <w:ind w:left="1240" w:right="8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international operations expose us to risks in international jurisdictions and we may be negatively impacted by export restrictions and trade barriers.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Relating to Our Status as a Controlled Company and Foreign Private Issuer</w:t>
      </w:r>
    </w:p>
    <w:p>
      <w:pPr>
        <w:spacing w:after="0" w:line="131" w:lineRule="exact"/>
        <w:rPr>
          <w:sz w:val="20"/>
          <w:szCs w:val="20"/>
          <w:color w:val="auto"/>
        </w:rPr>
      </w:pPr>
    </w:p>
    <w:p>
      <w:pPr>
        <w:ind w:left="1240" w:hanging="415"/>
        <w:spacing w:after="0" w:line="263"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89"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long as SoftBank controls us, other holders of our ordinary shares and ADSs will have limited ability to influence matters requiring stockholder approval or the composition of our Board of Directors.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SoftBank’s interests may conflict with our own interests and those of holders of our ADSs.</w:t>
      </w:r>
    </w:p>
    <w:p>
      <w:pPr>
        <w:spacing w:after="0" w:line="130"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lose our foreign private issuer status, which would then require us to comply with the Exchange Act’s domestic reporting regime and cause us to incur significant legal, accounting and other expenses.</w:t>
      </w: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379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Our status as a foreign private issuer exempts us from compliance with certain laws and rules of the SEC and certain regulations of Nasdaq. Consequently, we are not subject to all the disclosure requirements applicable to U.S. public companies. For example, we are exempt from certain rules under the Exchange Act that regulate disclosure obligations and procedural requirements related to the solicitation of proxies, consents or authorizations applicable to a security registered under the Exchange Act. In addition, our executive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us than there is for U.S. public companies.</w:t>
      </w:r>
    </w:p>
    <w:p>
      <w:pPr>
        <w:spacing w:after="0" w:line="166"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Regulation FD (Fair Disclosure), which is aimed at preventing issuers from making selective disclosures of material information.</w:t>
      </w:r>
    </w:p>
    <w:p>
      <w:pPr>
        <w:spacing w:after="0" w:line="187"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We may take advantage of these exemptions until such time as we no longer qualify as a foreign private issuer. In order to maintain our current status as a foreign private issuer, either a majority of our outstanding voting securities must be directly or indirectly held of record by non-residents of the U.S., or, if a majority of our outstanding voting securities are directly or indirectly held of record by U.S. residents, a majority of our executive officers or directors may not be U.S. citizens or residents, more than 50% of our assets cannot be located in the U.S. and our business must be administered principally outside the U.S.</w:t>
      </w:r>
    </w:p>
    <w:p>
      <w:pPr>
        <w:spacing w:after="0" w:line="188" w:lineRule="exact"/>
        <w:rPr>
          <w:sz w:val="20"/>
          <w:szCs w:val="20"/>
          <w:color w:val="auto"/>
        </w:rPr>
      </w:pPr>
    </w:p>
    <w:p>
      <w:pPr>
        <w:ind w:left="300" w:right="520" w:firstLine="426"/>
        <w:spacing w:after="0" w:line="342" w:lineRule="auto"/>
        <w:rPr>
          <w:sz w:val="20"/>
          <w:szCs w:val="20"/>
          <w:color w:val="auto"/>
        </w:rPr>
      </w:pPr>
      <w:r>
        <w:rPr>
          <w:rFonts w:ascii="Arial" w:cs="Arial" w:eastAsia="Arial" w:hAnsi="Arial"/>
          <w:sz w:val="16"/>
          <w:szCs w:val="16"/>
          <w:color w:val="auto"/>
        </w:rPr>
        <w:t>We have taken advantage of certain of these reduced reporting and other requirements in this prospectus. Accordingly, the information contained herein may be different from the information you receive from other public companies in which you hold equity securities.</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“Risk Factors—Risks Relating to Our Status as a Controlled Company and Foreign Private Issuer.”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Controlled Company</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SoftBank and SoftBank Vision Fund are expected to beneficially own approximately % and %, respectively, of our outstanding ordinary shares following the completion of this offering, assuming that the underwriters do not exercise their option to purchase additional ADSs, or % and %, respectively, of our outstanding ordinary shares if the underwriters exercise their option to purchase additional ADSs from the selling shareholders in full. As a result of SoftBank’s ownership, we will be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applicable to most Nasdaq-listed companies. Accordingly, you will not have the same protections afforded to shareholders of companies that are subject to all of these corporate governance requirements.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“Risk Factors—Risks Relating to Our Status as a Controlled Company and Foreign Private Issuer.”</w:t>
      </w:r>
    </w:p>
    <w:p>
      <w:pPr>
        <w:spacing w:after="0" w:line="33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96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140"/>
          </w:cols>
          <w:pgMar w:left="320" w:top="459" w:right="4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ADSs offered by the selling shareholders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with each ADS representing one ordinary share.</w:t>
      </w:r>
    </w:p>
    <w:p>
      <w:pPr>
        <w:spacing w:after="0" w:line="200" w:lineRule="exact"/>
        <w:rPr>
          <w:sz w:val="20"/>
          <w:szCs w:val="20"/>
          <w:color w:val="auto"/>
        </w:rPr>
      </w:pPr>
    </w:p>
    <w:p>
      <w:pPr>
        <w:sectPr>
          <w:pgSz w:w="11900" w:h="16838" w:orient="portrait"/>
          <w:cols w:equalWidth="0" w:num="2">
            <w:col w:w="4520" w:space="720"/>
            <w:col w:w="5900"/>
          </w:cols>
          <w:pgMar w:left="320" w:top="459" w:right="439" w:bottom="1440" w:gutter="0" w:footer="0" w:header="0"/>
          <w:type w:val="continuous"/>
        </w:sectPr>
      </w:pPr>
    </w:p>
    <w:p>
      <w:pPr>
        <w:spacing w:after="0" w:line="85" w:lineRule="exact"/>
        <w:rPr>
          <w:sz w:val="20"/>
          <w:szCs w:val="20"/>
          <w:color w:val="auto"/>
        </w:rPr>
      </w:pPr>
    </w:p>
    <w:p>
      <w:pPr>
        <w:ind w:left="380" w:right="120" w:hanging="78"/>
        <w:spacing w:after="0" w:line="282" w:lineRule="auto"/>
        <w:rPr>
          <w:sz w:val="20"/>
          <w:szCs w:val="20"/>
          <w:color w:val="auto"/>
        </w:rPr>
      </w:pPr>
      <w:r>
        <w:rPr>
          <w:rFonts w:ascii="Arial" w:cs="Arial" w:eastAsia="Arial" w:hAnsi="Arial"/>
          <w:sz w:val="18"/>
          <w:szCs w:val="18"/>
          <w:b w:val="1"/>
          <w:bCs w:val="1"/>
          <w:color w:val="auto"/>
        </w:rPr>
        <w:t>Ordinary shares to be outstanding upon completion of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509" w:lineRule="exact"/>
        <w:rPr>
          <w:sz w:val="20"/>
          <w:szCs w:val="20"/>
          <w:color w:val="auto"/>
        </w:rPr>
      </w:pPr>
    </w:p>
    <w:p>
      <w:pPr>
        <w:sectPr>
          <w:pgSz w:w="11900" w:h="16838" w:orient="portrait"/>
          <w:cols w:equalWidth="0" w:num="2">
            <w:col w:w="4380" w:space="720"/>
            <w:col w:w="6040"/>
          </w:cols>
          <w:pgMar w:left="320" w:top="459" w:right="439" w:bottom="1440" w:gutter="0" w:footer="0" w:header="0"/>
          <w:type w:val="continuous"/>
        </w:sectPr>
      </w:pPr>
    </w:p>
    <w:p>
      <w:pPr>
        <w:spacing w:after="0" w:line="2"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Underwriters’ option to purchase additional ADSs</w:t>
      </w:r>
      <w:r>
        <w:rPr>
          <w:sz w:val="20"/>
          <w:szCs w:val="20"/>
          <w:color w:val="auto"/>
        </w:rPr>
        <w:tab/>
      </w:r>
      <w:r>
        <w:rPr>
          <w:rFonts w:ascii="Arial" w:cs="Arial" w:eastAsia="Arial" w:hAnsi="Arial"/>
          <w:sz w:val="16"/>
          <w:szCs w:val="16"/>
          <w:color w:val="auto"/>
        </w:rPr>
        <w:t>The selling shareholders have granted the underwriters a 30-day option to purchase up to</w:t>
      </w:r>
    </w:p>
    <w:p>
      <w:pPr>
        <w:spacing w:after="0" w:line="27" w:lineRule="exact"/>
        <w:rPr>
          <w:sz w:val="20"/>
          <w:szCs w:val="20"/>
          <w:color w:val="auto"/>
        </w:rPr>
      </w:pPr>
    </w:p>
    <w:p>
      <w:pPr>
        <w:ind w:left="4340" w:right="300" w:hanging="3955"/>
        <w:spacing w:after="0" w:line="260" w:lineRule="auto"/>
        <w:tabs>
          <w:tab w:leader="none" w:pos="4320" w:val="left"/>
        </w:tabs>
        <w:rPr>
          <w:sz w:val="20"/>
          <w:szCs w:val="20"/>
          <w:color w:val="auto"/>
        </w:rPr>
      </w:pPr>
      <w:r>
        <w:rPr>
          <w:rFonts w:ascii="Arial" w:cs="Arial" w:eastAsia="Arial" w:hAnsi="Arial"/>
          <w:sz w:val="18"/>
          <w:szCs w:val="18"/>
          <w:b w:val="1"/>
          <w:bCs w:val="1"/>
          <w:color w:val="auto"/>
        </w:rPr>
        <w:t>offered by the selling shareholders</w:t>
      </w:r>
      <w:r>
        <w:rPr>
          <w:sz w:val="20"/>
          <w:szCs w:val="20"/>
          <w:color w:val="auto"/>
        </w:rPr>
        <w:tab/>
      </w:r>
      <w:r>
        <w:rPr>
          <w:rFonts w:ascii="Arial" w:cs="Arial" w:eastAsia="Arial" w:hAnsi="Arial"/>
          <w:sz w:val="18"/>
          <w:szCs w:val="18"/>
          <w:color w:val="auto"/>
        </w:rPr>
        <w:t>an additional ADSs from the selling shareholders at the public offering price, less underwriting discounts and commissions.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American depositary shares</w:t>
            </w:r>
          </w:p>
        </w:tc>
        <w:tc>
          <w:tcPr>
            <w:tcW w:w="7740" w:type="dxa"/>
            <w:vAlign w:val="bottom"/>
          </w:tcPr>
          <w:p>
            <w:pPr>
              <w:ind w:left="940"/>
              <w:spacing w:after="0"/>
              <w:rPr>
                <w:sz w:val="20"/>
                <w:szCs w:val="20"/>
                <w:color w:val="auto"/>
              </w:rPr>
            </w:pPr>
            <w:r>
              <w:rPr>
                <w:rFonts w:ascii="Arial" w:cs="Arial" w:eastAsia="Arial" w:hAnsi="Arial"/>
                <w:sz w:val="18"/>
                <w:szCs w:val="18"/>
                <w:color w:val="auto"/>
                <w:w w:val="93"/>
              </w:rPr>
              <w:t>Each ADS represents one ordinary share, nominal value £0.001 per ordinary share, of Arm</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Holdings plc. As a holder of ADSs, you will not be treated as one of our shareholders and</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you will not have shareholder rights. Rather, you will have the rights of an ADS holder or</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beneficial owner of ADSs (as applicable) as provided in the deposit agreement among us,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9"/>
              </w:rPr>
              <w:t>the depositary and holders and beneficial owners of ADSs from time to time. To better</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understand the terms of our ADSs, see “Description of American Depositary Shares”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elsewhere in this prospectus. We also encourage you to read the deposit agreement,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7"/>
              </w:rPr>
              <w:t>form of which is filed as an exhibit to the registration statement of which this prospectus</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forms a part.</w:t>
            </w:r>
          </w:p>
        </w:tc>
      </w:tr>
      <w:tr>
        <w:trPr>
          <w:trHeight w:val="459"/>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Depositary</w:t>
            </w:r>
          </w:p>
        </w:tc>
        <w:tc>
          <w:tcPr>
            <w:tcW w:w="7740" w:type="dxa"/>
            <w:vAlign w:val="bottom"/>
          </w:tcPr>
          <w:p>
            <w:pPr>
              <w:ind w:left="940"/>
              <w:spacing w:after="0"/>
              <w:rPr>
                <w:sz w:val="20"/>
                <w:szCs w:val="20"/>
                <w:color w:val="auto"/>
              </w:rPr>
            </w:pPr>
            <w:r>
              <w:rPr>
                <w:rFonts w:ascii="Arial" w:cs="Arial" w:eastAsia="Arial" w:hAnsi="Arial"/>
                <w:sz w:val="18"/>
                <w:szCs w:val="18"/>
                <w:color w:val="auto"/>
              </w:rPr>
              <w:t>Citibank, N.A.</w:t>
            </w:r>
          </w:p>
        </w:tc>
      </w:tr>
      <w:tr>
        <w:trPr>
          <w:trHeight w:val="458"/>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We will not receive any of the proceeds from the sale of ADSs by the selling shareholders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in this offering (including any proceeds from any sale of ADSs pursuant to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underwriters’ option to purchase additional ADSs). All net proceeds from the sale of ADSs</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in this offering will go to the selling shareholders.</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Controlled company</w:t>
            </w:r>
          </w:p>
        </w:tc>
        <w:tc>
          <w:tcPr>
            <w:tcW w:w="7740" w:type="dxa"/>
            <w:vAlign w:val="bottom"/>
          </w:tcPr>
          <w:p>
            <w:pPr>
              <w:ind w:left="940"/>
              <w:spacing w:after="0"/>
              <w:rPr>
                <w:sz w:val="20"/>
                <w:szCs w:val="20"/>
                <w:color w:val="auto"/>
              </w:rPr>
            </w:pPr>
            <w:r>
              <w:rPr>
                <w:rFonts w:ascii="Arial" w:cs="Arial" w:eastAsia="Arial" w:hAnsi="Arial"/>
                <w:sz w:val="18"/>
                <w:szCs w:val="18"/>
                <w:color w:val="auto"/>
              </w:rPr>
              <w:t>SoftBank and SoftBank Vision Fund will beneficially own approximately   % and   %,</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7"/>
              </w:rPr>
              <w:t>respectively, of our outstanding ordinary shares following the completion of this offering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9"/>
              </w:rPr>
              <w:t>(or approximately   % and   %, respectively, if the underwriters exercise their option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purchase additional ADSs from the selling shareholders in full). As a result of SoftBank’s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7"/>
              </w:rPr>
              <w:t>ownership, after the completion of this offering, we will be a “controlled company” within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the meaning of Nasdaq rules and, therefore, will qualify for exemptions from certain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corporate governance requirements of Nasdaq. In the event that we elect to use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controlled company exemptions, holders of our ADSs will not have the same protections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9"/>
              </w:rPr>
              <w:t>afforded to stockholders of companies that are subject to these corporate governance</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requirements.</w:t>
            </w:r>
          </w:p>
        </w:tc>
      </w:tr>
      <w:tr>
        <w:trPr>
          <w:trHeight w:val="445"/>
        </w:trPr>
        <w:tc>
          <w:tcPr>
            <w:tcW w:w="3280" w:type="dxa"/>
            <w:vAlign w:val="bottom"/>
          </w:tcPr>
          <w:p>
            <w:pPr>
              <w:spacing w:after="0"/>
              <w:rPr>
                <w:sz w:val="24"/>
                <w:szCs w:val="24"/>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7"/>
              </w:rPr>
              <w:t>As long as SoftBank beneficially owns a majority of the voting power of our outstanding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ordinary shares, SoftBank will generally be able to control the outcome of matters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submitted to our shareholders for approval, including the election of directors, without the</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approval of our other shareholders. See “Risk Factors—Risks Relating to Our</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24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81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312" w:lineRule="exact"/>
        <w:rPr>
          <w:sz w:val="20"/>
          <w:szCs w:val="20"/>
          <w:color w:val="auto"/>
        </w:rPr>
      </w:pPr>
    </w:p>
    <w:p>
      <w:pPr>
        <w:ind w:left="4340" w:right="260"/>
        <w:spacing w:after="0" w:line="311" w:lineRule="auto"/>
        <w:rPr>
          <w:sz w:val="20"/>
          <w:szCs w:val="20"/>
          <w:color w:val="auto"/>
        </w:rPr>
      </w:pPr>
      <w:r>
        <w:rPr>
          <w:rFonts w:ascii="Arial" w:cs="Arial" w:eastAsia="Arial" w:hAnsi="Arial"/>
          <w:sz w:val="16"/>
          <w:szCs w:val="16"/>
          <w:color w:val="auto"/>
        </w:rPr>
        <w:t>Status as a Controlled Company and Foreign Private Issuer—As long as SoftBank controls us, other holders of our ordinary shares and ADSs will have limited ability to influence matters requiring stockholder approval or the composition of our Board of Directors.”</w:t>
      </w:r>
    </w:p>
    <w:p>
      <w:pPr>
        <w:sectPr>
          <w:pgSz w:w="11900" w:h="16838" w:orient="portrait"/>
          <w:cols w:equalWidth="0" w:num="1">
            <w:col w:w="11140"/>
          </w:cols>
          <w:pgMar w:left="320" w:top="459" w:right="439" w:bottom="1440" w:gutter="0" w:footer="0" w:header="0"/>
        </w:sectPr>
      </w:pPr>
    </w:p>
    <w:p>
      <w:pPr>
        <w:spacing w:after="0" w:line="18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currently do not intend to pay dividends on our ordinary shares or ADSs. See the section titled “Dividend Policy” for more information.</w:t>
      </w:r>
    </w:p>
    <w:p>
      <w:pPr>
        <w:spacing w:after="0" w:line="193"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220"/>
        <w:spacing w:after="0" w:line="342"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carefully consider before deciding to invest in our ADSs.</w:t>
      </w:r>
    </w:p>
    <w:p>
      <w:pPr>
        <w:spacing w:after="0" w:line="147"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Proposed 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“ARM”</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39" w:lineRule="exact"/>
        <w:rPr>
          <w:sz w:val="20"/>
          <w:szCs w:val="20"/>
          <w:color w:val="auto"/>
        </w:rPr>
      </w:pPr>
    </w:p>
    <w:p>
      <w:pPr>
        <w:ind w:left="300" w:right="260" w:firstLine="426"/>
        <w:spacing w:after="0" w:line="269" w:lineRule="auto"/>
        <w:rPr>
          <w:sz w:val="20"/>
          <w:szCs w:val="20"/>
          <w:color w:val="auto"/>
        </w:rPr>
      </w:pPr>
      <w:r>
        <w:rPr>
          <w:rFonts w:ascii="Arial" w:cs="Arial" w:eastAsia="Arial" w:hAnsi="Arial"/>
          <w:sz w:val="17"/>
          <w:szCs w:val="17"/>
          <w:color w:val="auto"/>
        </w:rPr>
        <w:t>The number of ordinary shares, including ordinary shares represented by ADSs, that will be outstanding upon completion of this offering is based on ordinary shares outstanding as of , 2023, and (i) gives effect to our corporate reorganization described under the section titled “Corporate Reorganization” and (ii) includes ordinary shares issuable upon the completion of this offering, assuming an initial public offering price of $ per ADS, which is the midpoint of the price range set forth on the cover page of this prospectus, in connection with</w:t>
      </w:r>
    </w:p>
    <w:p>
      <w:pPr>
        <w:sectPr>
          <w:pgSz w:w="11900" w:h="16838" w:orient="portrait"/>
          <w:cols w:equalWidth="0" w:num="1">
            <w:col w:w="11140"/>
          </w:cols>
          <w:pgMar w:left="320" w:top="459" w:right="439" w:bottom="1440" w:gutter="0" w:footer="0" w:header="0"/>
          <w:type w:val="continuous"/>
        </w:sectPr>
      </w:pPr>
    </w:p>
    <w:p>
      <w:pPr>
        <w:spacing w:after="0" w:line="2" w:lineRule="exact"/>
        <w:rPr>
          <w:sz w:val="20"/>
          <w:szCs w:val="20"/>
          <w:color w:val="auto"/>
        </w:rPr>
      </w:pPr>
    </w:p>
    <w:p>
      <w:pPr>
        <w:ind w:left="300" w:right="220"/>
        <w:spacing w:after="0" w:line="260" w:lineRule="auto"/>
        <w:rPr>
          <w:sz w:val="20"/>
          <w:szCs w:val="20"/>
          <w:color w:val="auto"/>
        </w:rPr>
      </w:pPr>
      <w:r>
        <w:rPr>
          <w:rFonts w:ascii="Arial" w:cs="Arial" w:eastAsia="Arial" w:hAnsi="Arial"/>
          <w:sz w:val="18"/>
          <w:szCs w:val="18"/>
          <w:color w:val="auto"/>
        </w:rPr>
        <w:t>the vesting of restricted share unit (“RSU”) awards and Executive Awards (as described under “Management and Executive Remuneration—Equity Incentive Plans—2022 RSU Plan”), and excludes:</w:t>
      </w:r>
    </w:p>
    <w:p>
      <w:pPr>
        <w:spacing w:after="0" w:line="91" w:lineRule="exact"/>
        <w:rPr>
          <w:sz w:val="20"/>
          <w:szCs w:val="20"/>
          <w:color w:val="auto"/>
        </w:rPr>
      </w:pPr>
    </w:p>
    <w:p>
      <w:pPr>
        <w:ind w:left="1240" w:right="320" w:hanging="415"/>
        <w:spacing w:after="0" w:line="263"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ordinary shares issuable upon the vesting of RSU awards issued under The Arm Limited All-Employee Plan 2019 (the “2019 AEP”), which will vest on the first trading day that is more than 180 days following the date on which our ADSs are admitted to trading on Nasdaq, subject to earlier vesting in certain circumstances;</w:t>
      </w:r>
    </w:p>
    <w:p>
      <w:pPr>
        <w:spacing w:after="0" w:line="89" w:lineRule="exact"/>
        <w:rPr>
          <w:rFonts w:ascii="Arial" w:cs="Arial" w:eastAsia="Arial" w:hAnsi="Arial"/>
          <w:sz w:val="18"/>
          <w:szCs w:val="18"/>
          <w:color w:val="auto"/>
        </w:rPr>
      </w:pPr>
    </w:p>
    <w:p>
      <w:pPr>
        <w:ind w:left="1240" w:right="260" w:hanging="415"/>
        <w:spacing w:after="0" w:line="263"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ordinary shares issuable upon the vesting of the RSU awards and the Executive Awards that were issued under The Arm Limited RSU Award Plan (the “2022 RSU Plan”) to the extent that they have not vested as of the date of this prospectus and will not vest upon the completion of this offering; and</w:t>
      </w:r>
    </w:p>
    <w:p>
      <w:pPr>
        <w:spacing w:after="0" w:line="89"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ordinary shares issuable upon the vesting of the RSU awards that were issued under The Arm Non-Executive Directors RSU Award Plan (the “NED Plan”) to the extent that they have not vested as of the date of this prospectus,</w:t>
      </w:r>
    </w:p>
    <w:p>
      <w:pPr>
        <w:spacing w:after="0" w:line="170" w:lineRule="exact"/>
        <w:rPr>
          <w:sz w:val="20"/>
          <w:szCs w:val="20"/>
          <w:color w:val="auto"/>
        </w:rPr>
      </w:pPr>
    </w:p>
    <w:p>
      <w:pPr>
        <w:ind w:left="720"/>
        <w:spacing w:after="0"/>
        <w:tabs>
          <w:tab w:leader="none" w:pos="4780" w:val="left"/>
        </w:tabs>
        <w:rPr>
          <w:sz w:val="20"/>
          <w:szCs w:val="20"/>
          <w:color w:val="auto"/>
        </w:rPr>
      </w:pPr>
      <w:r>
        <w:rPr>
          <w:rFonts w:ascii="Arial" w:cs="Arial" w:eastAsia="Arial" w:hAnsi="Arial"/>
          <w:sz w:val="18"/>
          <w:szCs w:val="18"/>
          <w:color w:val="auto"/>
        </w:rPr>
        <w:t>which collectively will increase by a number equal to</w:t>
      </w:r>
      <w:r>
        <w:rPr>
          <w:sz w:val="20"/>
          <w:szCs w:val="20"/>
          <w:color w:val="auto"/>
        </w:rPr>
        <w:tab/>
      </w:r>
      <w:r>
        <w:rPr>
          <w:rFonts w:ascii="Arial" w:cs="Arial" w:eastAsia="Arial" w:hAnsi="Arial"/>
          <w:sz w:val="16"/>
          <w:szCs w:val="16"/>
          <w:color w:val="auto"/>
        </w:rPr>
        <w:t>% of our total ordinary shares outstanding after the completion of this offering.</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noted, the information in this prospectus assumes:</w:t>
      </w:r>
    </w:p>
    <w:p>
      <w:pPr>
        <w:spacing w:after="0" w:line="131" w:lineRule="exact"/>
        <w:rPr>
          <w:sz w:val="20"/>
          <w:szCs w:val="20"/>
          <w:color w:val="auto"/>
        </w:rPr>
      </w:pPr>
    </w:p>
    <w:p>
      <w:pPr>
        <w:ind w:left="1240" w:hanging="415"/>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completion of the transactions described in the section titled “Corporate Reorganization” prior to the completion of this offering;</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the Articles immediately prior to the completion of this offering;</w:t>
      </w:r>
    </w:p>
    <w:p>
      <w:pPr>
        <w:spacing w:after="0" w:line="130" w:lineRule="exact"/>
        <w:rPr>
          <w:rFonts w:ascii="Arial" w:cs="Arial" w:eastAsia="Arial" w:hAnsi="Arial"/>
          <w:sz w:val="18"/>
          <w:szCs w:val="18"/>
          <w:color w:val="auto"/>
        </w:rPr>
      </w:pPr>
    </w:p>
    <w:p>
      <w:pPr>
        <w:ind w:left="1240" w:right="960" w:hanging="415"/>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initial public offering price of $ per ADS, which is the midpoint of the price range set forth on the cover page of this prospectus; and</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6260" w:type="dxa"/>
            <w:vAlign w:val="bottom"/>
          </w:tcPr>
          <w:p>
            <w:pPr>
              <w:ind w:left="180"/>
              <w:spacing w:after="0"/>
              <w:rPr>
                <w:sz w:val="20"/>
                <w:szCs w:val="20"/>
                <w:color w:val="auto"/>
              </w:rPr>
            </w:pPr>
            <w:r>
              <w:rPr>
                <w:rFonts w:ascii="Arial" w:cs="Arial" w:eastAsia="Arial" w:hAnsi="Arial"/>
                <w:sz w:val="18"/>
                <w:szCs w:val="18"/>
                <w:color w:val="auto"/>
                <w:w w:val="98"/>
              </w:rPr>
              <w:t>no exercise by the underwriters of their option to purchase up to an additional</w:t>
            </w:r>
          </w:p>
        </w:tc>
        <w:tc>
          <w:tcPr>
            <w:tcW w:w="3820" w:type="dxa"/>
            <w:vAlign w:val="bottom"/>
          </w:tcPr>
          <w:p>
            <w:pPr>
              <w:ind w:left="500"/>
              <w:spacing w:after="0"/>
              <w:rPr>
                <w:sz w:val="20"/>
                <w:szCs w:val="20"/>
                <w:color w:val="auto"/>
              </w:rPr>
            </w:pPr>
            <w:r>
              <w:rPr>
                <w:rFonts w:ascii="Arial" w:cs="Arial" w:eastAsia="Arial" w:hAnsi="Arial"/>
                <w:sz w:val="18"/>
                <w:szCs w:val="18"/>
                <w:color w:val="auto"/>
                <w:w w:val="98"/>
              </w:rPr>
              <w:t>ADSs from the selling shareholders in this</w:t>
            </w:r>
          </w:p>
        </w:tc>
      </w:tr>
      <w:tr>
        <w:trPr>
          <w:trHeight w:val="230"/>
        </w:trPr>
        <w:tc>
          <w:tcPr>
            <w:tcW w:w="940" w:type="dxa"/>
            <w:vAlign w:val="bottom"/>
          </w:tcPr>
          <w:p>
            <w:pPr>
              <w:spacing w:after="0"/>
              <w:rPr>
                <w:sz w:val="20"/>
                <w:szCs w:val="20"/>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820" w:type="dxa"/>
            <w:vAlign w:val="bottom"/>
          </w:tcPr>
          <w:p>
            <w:pPr>
              <w:spacing w:after="0"/>
              <w:rPr>
                <w:sz w:val="20"/>
                <w:szCs w:val="20"/>
                <w:color w:val="auto"/>
              </w:rPr>
            </w:pPr>
          </w:p>
        </w:tc>
      </w:tr>
      <w:tr>
        <w:trPr>
          <w:trHeight w:val="159"/>
        </w:trPr>
        <w:tc>
          <w:tcPr>
            <w:tcW w:w="940" w:type="dxa"/>
            <w:vAlign w:val="bottom"/>
            <w:tcBorders>
              <w:bottom w:val="single" w:sz="8" w:color="auto"/>
            </w:tcBorders>
          </w:tcPr>
          <w:p>
            <w:pPr>
              <w:spacing w:after="0"/>
              <w:rPr>
                <w:sz w:val="13"/>
                <w:szCs w:val="13"/>
                <w:color w:val="auto"/>
              </w:rPr>
            </w:pPr>
          </w:p>
        </w:tc>
        <w:tc>
          <w:tcPr>
            <w:tcW w:w="62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r>
      <w:tr>
        <w:trPr>
          <w:trHeight w:val="361"/>
        </w:trPr>
        <w:tc>
          <w:tcPr>
            <w:tcW w:w="940" w:type="dxa"/>
            <w:vAlign w:val="bottom"/>
          </w:tcPr>
          <w:p>
            <w:pPr>
              <w:spacing w:after="0"/>
              <w:rPr>
                <w:sz w:val="24"/>
                <w:szCs w:val="24"/>
                <w:color w:val="auto"/>
              </w:rPr>
            </w:pPr>
          </w:p>
        </w:tc>
        <w:tc>
          <w:tcPr>
            <w:tcW w:w="6260" w:type="dxa"/>
            <w:vAlign w:val="bottom"/>
          </w:tcPr>
          <w:p>
            <w:pPr>
              <w:jc w:val="right"/>
              <w:ind w:right="1410"/>
              <w:spacing w:after="0"/>
              <w:rPr>
                <w:sz w:val="20"/>
                <w:szCs w:val="20"/>
                <w:color w:val="auto"/>
              </w:rPr>
            </w:pPr>
            <w:r>
              <w:rPr>
                <w:rFonts w:ascii="Arial" w:cs="Arial" w:eastAsia="Arial" w:hAnsi="Arial"/>
                <w:sz w:val="18"/>
                <w:szCs w:val="18"/>
                <w:color w:val="auto"/>
              </w:rPr>
              <w:t>16</w:t>
            </w:r>
          </w:p>
        </w:tc>
        <w:tc>
          <w:tcPr>
            <w:tcW w:w="38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394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3947160"/>
                    </a:xfrm>
                    <a:prstGeom prst="rect">
                      <a:avLst/>
                    </a:prstGeom>
                    <a:noFill/>
                  </pic:spPr>
                </pic:pic>
              </a:graphicData>
            </a:graphic>
          </wp:anchor>
        </w:drawing>
      </w: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The following tables summarize our consolidated financial data. The consolidated financial statements as of March 31, 2022 and for the fiscal years ended March 31, 2022 and 2021 have been derived from our audited financial statements included elsewhere in this prospectus. Our historical results are not necessarily indicative of the results that may be expected in the future. You should read the following summary consolidated financial data in conjunction with the section titled “Management’s Discussion and Analysis of Financial Condition and Results of Operations” and our consolidated financial statements and related notes included elsewhere in this prospectus.</w:t>
      </w:r>
    </w:p>
    <w:p>
      <w:pPr>
        <w:spacing w:after="0" w:line="176" w:lineRule="exact"/>
        <w:rPr>
          <w:sz w:val="20"/>
          <w:szCs w:val="20"/>
          <w:color w:val="auto"/>
        </w:rPr>
      </w:pPr>
    </w:p>
    <w:p>
      <w:pPr>
        <w:ind w:left="300" w:right="340" w:firstLine="426"/>
        <w:spacing w:after="0" w:line="263" w:lineRule="auto"/>
        <w:rPr>
          <w:sz w:val="20"/>
          <w:szCs w:val="20"/>
          <w:color w:val="auto"/>
        </w:rPr>
      </w:pPr>
      <w:r>
        <w:rPr>
          <w:rFonts w:ascii="Arial" w:cs="Arial" w:eastAsia="Arial" w:hAnsi="Arial"/>
          <w:sz w:val="18"/>
          <w:szCs w:val="18"/>
          <w:color w:val="auto"/>
        </w:rPr>
        <w:t>You should read the following summary financial data in conjunction with “Selected Financial Data,” “Management’s Discussion and Analysis of Financial Condition and Results of Operations” and our consolidated financial statements and related notes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9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share and per share amounts)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40" w:type="dxa"/>
            <w:vAlign w:val="bottom"/>
            <w:gridSpan w:val="5"/>
          </w:tcPr>
          <w:p>
            <w:pPr>
              <w:ind w:left="58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398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13"/>
              <w:spacing w:after="0" w:line="129" w:lineRule="exact"/>
              <w:rPr>
                <w:sz w:val="20"/>
                <w:szCs w:val="20"/>
                <w:color w:val="auto"/>
              </w:rPr>
            </w:pPr>
            <w:r>
              <w:rPr>
                <w:rFonts w:ascii="Arial" w:cs="Arial" w:eastAsia="Arial" w:hAnsi="Arial"/>
                <w:sz w:val="14"/>
                <w:szCs w:val="14"/>
                <w:b w:val="1"/>
                <w:bCs w:val="1"/>
                <w:color w:val="auto"/>
              </w:rPr>
              <w:t>2022</w:t>
            </w: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373"/>
              <w:spacing w:after="0" w:line="129" w:lineRule="exact"/>
              <w:rPr>
                <w:sz w:val="20"/>
                <w:szCs w:val="20"/>
                <w:color w:val="auto"/>
              </w:rPr>
            </w:pPr>
            <w:r>
              <w:rPr>
                <w:rFonts w:ascii="Arial" w:cs="Arial" w:eastAsia="Arial" w:hAnsi="Arial"/>
                <w:sz w:val="14"/>
                <w:szCs w:val="14"/>
                <w:b w:val="1"/>
                <w:bCs w:val="1"/>
                <w:color w:val="auto"/>
              </w:rPr>
              <w:t>2021</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20" w:type="dxa"/>
            <w:vAlign w:val="bottom"/>
            <w:tcBorders>
              <w:bottom w:val="single" w:sz="8" w:color="CCEEFF"/>
            </w:tcBorders>
            <w:shd w:val="clear" w:color="auto" w:fill="000000"/>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60" w:type="dxa"/>
            <w:vAlign w:val="bottom"/>
          </w:tcPr>
          <w:p>
            <w:pPr>
              <w:spacing w:after="0"/>
              <w:rPr>
                <w:sz w:val="16"/>
                <w:szCs w:val="16"/>
                <w:color w:val="auto"/>
              </w:rPr>
            </w:pPr>
          </w:p>
        </w:tc>
        <w:tc>
          <w:tcPr>
            <w:tcW w:w="3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Income Statements Data:</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2,703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Net income per share attributable to ordinary</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shareholders—basic and diluted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ordinary shares outstanding—basic</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88"/>
              </w:rPr>
              <w:t>1,025,234,000</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1,025,234,000</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Cash, cash equivalents and short-term investments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4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jc w:val="right"/>
              <w:ind w:right="4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Investing in our ADSs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ADSs. The occurrence of any of the events or developments described below could materially harm our business, financial condition, results of operations and prospects. In such an event, the market price of our ADSs could decline and you may lose all or part of your investment. Additional risks and uncertainties not presently known to us or that we currently deem immaterial also may materially impair our business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primarily depends on trends in the semiconductor and electronics industries and the demand for the products of our customers and our customers’ customers.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Demand for our products and services is largely dependent on the semiconductor and electronics industries, which are volatile, intensely competitive and generally characterized by declining ASPs over the life of a generation of chips. The effect of these price decreases is compounded by the fact that our royalty rates generally decrease as the volume of sales increases, subject to an agreed minimum royalty per chip. Additionally, demand for our products and services could decrease if growth in the semiconductor or electronics industries slows or declines.</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revenue we generate from licensing activities is also largely dependent on the rate at which systems companies develop and adopt new product generations, which, in turn, is affected by the level of demand for their ICs and other products. Decreasing demand from systems companies for chips based on our products would directly and adversely affect the amount of royalties we receive. As a result of our dependence on demand from systems companies, we are subject to several risks affecting these systems companies, any one of which may influence the success or failure of a particular systems company. These risks include, among others:</w:t>
      </w:r>
    </w:p>
    <w:p>
      <w:pPr>
        <w:spacing w:after="0" w:line="93"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faced by the systems company in its particular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engineering and marketing capabilities of the systems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the systems company’s products;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developments in the economic and political conditions of the region(s) in which the systems company operates, particularly to the extent that such developments create an unfavorable business environment;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supply constraints and inventory correction affecting the systems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technical challenges unrelated to our products faced by the systems company in developing its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and other resources of the systems company.</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These risks and others which are outside of our control could adversely affect any number of systems companies upon which our success depends, which could, in turn, have a material adverse effect on our business, results of operations, financial condition and prospects.</w:t>
      </w:r>
    </w:p>
    <w:p>
      <w:pPr>
        <w:spacing w:after="0" w:line="25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depends substantially on their acceptance by semiconductor and systems companies and their compatibility with, and the costs of, the design and manufacturing processes of our customers.</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success depends substantially on the acceptance of our products and services by semiconductor and systems companies, particularly those that develop and market chips for high-volume electronic devices in the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automotive, embedded and IoT, enterprise electronics, and mobile and consumer electronics markets. There are competing microprocessor architectures in the market and there is no certainty that the market will continue to accept our products to the same or greater extent than it does today.</w:t>
      </w:r>
    </w:p>
    <w:p>
      <w:pPr>
        <w:spacing w:after="0" w:line="124" w:lineRule="exact"/>
        <w:rPr>
          <w:sz w:val="20"/>
          <w:szCs w:val="20"/>
          <w:color w:val="auto"/>
        </w:rPr>
      </w:pPr>
    </w:p>
    <w:p>
      <w:pPr>
        <w:jc w:val="both"/>
        <w:ind w:left="120" w:right="760" w:firstLine="440"/>
        <w:spacing w:after="0" w:line="263" w:lineRule="auto"/>
        <w:rPr>
          <w:sz w:val="20"/>
          <w:szCs w:val="20"/>
          <w:color w:val="auto"/>
        </w:rPr>
      </w:pPr>
      <w:r>
        <w:rPr>
          <w:rFonts w:ascii="Arial" w:cs="Arial" w:eastAsia="Arial" w:hAnsi="Arial"/>
          <w:sz w:val="18"/>
          <w:szCs w:val="18"/>
          <w:color w:val="auto"/>
        </w:rPr>
        <w:t>Demand from large, global systems companies, including OEMs, drive much of the development of silicon chips and computer systems. Accordingly, acceptance of our products by these companies as well as semiconductor and other companies for use in a variety of end-market applications is critical for our continued success.</w:t>
      </w:r>
    </w:p>
    <w:p>
      <w:pPr>
        <w:spacing w:after="0" w:line="184"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The semiconductor and electronics industries have also become increasingly complex and subject to increasing design and manufacturing costs. Many of our customers utilize third-party vendors for EDA tools and also outsource the manufacture of their semiconductor designs to foundries. We work closely with major EDA vendors and foundries to ensure that our products are compatible with their design tools and manufacturing processes. However, if we fail to optimize our products for use with major EDA vendors’ tools and foundries’ manufacturing processes, or if our access to such tools and processes is hampered, then our products may become less desirable to our customers. Similarly, for customers that do not outsource design and manufacturing processes, if our products are unsuitable for the customers’ internal processes, then our products may not be acceptable to those customers.</w:t>
      </w:r>
    </w:p>
    <w:p>
      <w:pPr>
        <w:spacing w:after="0" w:line="195"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Additionally, there are risks inherent in the manufacturing of next-generation process technologies, including production timing delays, lower-than-anticipated manufacturing yields, and product defects and errata. If foundries are unable to successfully or efficiently manufacture future generations of chips based on our products, demand for our products could be materially adversely affected along with our business, results of operations, financial condition and prospects.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market for our products is intensely competitive and characterized by rapid changes in design and manufacturing technologies, end-user requirements, industry standards, and frequent new product introductions and improvements. We anticipate continued challenges from current and new competitors, including established technologies such as the x86 architecture, as well as by free, open-source technologies, including the RISC-V architecture. Many of our customers are also major supporters of the RISC-V architecture and related technologies. If RISC-V-related technology continues to be developed and market support for RISC-V increases, our customers may choose to utilize this free, open-source architecture instead of our products. Additionally, many of our direct and indirect competitors, including some of our semiconductor customers, are major corporations with substantially greater technical, financial and marketing resources and name recognition than we have. Some of these competitors have a much larger application software base and a much larger installed customer base than we do, and there can be no assurance that we will have the financial resources, technical expertise, and marketing, distribution and support capabilities to compete successfully with them in the future.</w:t>
      </w:r>
    </w:p>
    <w:p>
      <w:pPr>
        <w:spacing w:after="0" w:line="16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markets where we are established already and new markets we have entered or intend to enter, our primary competitors may have greater financial, technical, marketing, distribution, support or other resources and capabilities, greater brand recognition, lower labor and development costs, different regulatory restrictions or a larger customer base than we do. In these markets, we may have to invest substantial resources into developing an ecosystem of software and tools to create a competitive ecosystem that allows us to compete with alternative architectures such as x86 and RISC-V, which have business models that are different from ours and may be more attractive to some of our customers. Our competitors may devote greater resources to the development, promotion and sale of products and services, they may offer lower pricing and different customer engagement models, and their performance, features and product quality may be more desirable than those of our company. Our current and potential competitors may also establish cooperative relationships among themselves or with third parties that may further enhance their resources or strengthen their positions within these markets, or may</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be subject to more favorable regulatory regimes. Although the development of alternative architectures and technology is a time-intensive process, if our competitors establish cooperative relationships or consolidate with each other or third parties, they may have additional resources that would allow them to more quickly develop architectures and other technology that directly compete with our products. Such cooperative relationships or consolidations may also allow competitors to anticipate or respond more quickly and effectively than we can to new or changing opportunities, technologies, standards or customer requirements. If we are unable to anticipate or react to these competitive challenges, our competitive position could weaken and we could experience a decline in revenue and profitability.</w:t>
      </w:r>
    </w:p>
    <w:p>
      <w:pPr>
        <w:spacing w:after="0" w:line="19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Some semiconductor companies have developed their own proprietary architecture for specific markets or applications. These companies may utilize their proprietary architecture to penetrate markets where we are currently the architecture of choice, or where our products may be utilized, making it more difficult for us to penetrate such markets in the future. Some semiconductor companies have proprietary architectures in applications, including, but not limited to, automotive, data center equipment, networking equipment, electronic storage, microcontrollers, smart sensors, servers and wireless communications. These companies may be significantly entrenched in their markets. If these companies are successful in displacing our products, or if we are unable to penetrate or grow our market share in these areas, licensing opportunities and potential royalties could be harmed, negatively affecting our business, results of operations, financial condition and prospects. Our development systems tools business also faces significant competition from both the open-source community and third-party tools and software suppliers.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While our customers likely would incur significant costs in switching to competitors’ architecture, our competitors (including new market entrants) may offer greater incentives to customers through rebates, marketing funds, similar programs and other commercial arrangements to induce them to use their architecture in lieu of our products. Additionally, our competitors with multiple products or services may bundle their architecture, products and services to offer a broader product portfolio (which may include products or services we do not offer), which may make it difficult for us to gain or maintain market share.</w:t>
      </w:r>
    </w:p>
    <w:p>
      <w:pPr>
        <w:spacing w:after="0" w:line="18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Physical IP business also faces significant competition from third parties, including the internal design groups of IC manufacturers that have expanded their internal design capabilities and portfolio of Physical IP components. Physical IP components developed internally by our customers may be designed specifically to utilize the unique qualities of their own manufacturing processes, and may benefit from capacity, informational, cost and technical advantages relative to our Physical IP components, and we may be unable to compete effectively with such internal design groups.</w:t>
      </w:r>
    </w:p>
    <w:p>
      <w:pPr>
        <w:spacing w:after="0" w:line="26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and sell additional products to our existing customers, our business, results of operations, financial condition and prospects may be materially and adversely affected.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Adding new customers while maintaining our existing customers, selling additional products to our existing customers and increasing the price we charge to existing customers represent our principal opportunities to increase revenue (particularly licensing revenue). We generate a significant portion of our revenues from customers who incorporate our products into chips used in smartphones, consumer electronics and other embedded chips. If growth in these markets declines (including in the smartphone market, in which growth has declined in recent years), our business, financial condition, results of operations and cash flows could be negatively affected, and we would become more dependent on new growth areas to increase revenue and improve our financial condition. We are currently focused on growing our business in key areas such as infrastructure, automotive, IoT, AI and 5G. Numerous factors, however, may impede our ability to grow our business in these key areas, add new customers and sell additional products to our existing customers. Those factors include, among others:</w:t>
      </w:r>
    </w:p>
    <w:p>
      <w:pPr>
        <w:spacing w:after="0" w:line="84"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develop new products that are attractive to current and prospective customers;</w:t>
      </w:r>
    </w:p>
    <w:p>
      <w:pPr>
        <w:spacing w:after="0" w:line="130" w:lineRule="exact"/>
        <w:rPr>
          <w:rFonts w:ascii="Arial" w:cs="Arial" w:eastAsia="Arial" w:hAnsi="Arial"/>
          <w:sz w:val="18"/>
          <w:szCs w:val="18"/>
          <w:color w:val="auto"/>
        </w:rPr>
      </w:pPr>
    </w:p>
    <w:p>
      <w:pPr>
        <w:ind w:left="5640" w:right="2900" w:hanging="4984"/>
        <w:spacing w:after="0" w:line="449" w:lineRule="auto"/>
        <w:tabs>
          <w:tab w:leader="none" w:pos="10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slow adoption of our new products in key areas such as infrastructure, automotive, IoT, AI and 5G; 20</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develop or expand relationships with channel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develop new distribution channels appropriate for such new technology areas;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successfully provide quality technical support once deployed;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retain new customers and failure to ensure the effectiveness of our marketing programs.</w:t>
      </w:r>
    </w:p>
    <w:p>
      <w:pPr>
        <w:spacing w:after="0" w:line="225"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In addition, if prospective customers do not perceive our products to be of sufficiently high value and quality or they do not believe the costs of our products relative to competing technology can be passed along to their customers, we may not be able to effectively attract new customers, which would materially and adversely affect our business,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 parties to market and sell chips incorporating our products and to enhance the value of our licensed products.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rely on our customers to design, manufacture and sell chips incorporating our products in order to generate royalty revenue. A substantial portion of our revenue depends upon the commencement of new design projects by semiconductor companies and their ability to provide complete chips based on our products to meet the specific application needs of their customers. However, our customers are not contractually obligated to design, manufacture or sell chips using our products on an exclusive basis or at all. Some of our existing customers design, manufacture and sell chips based on competing technology, including their own, and other existing or potential customers may do so in the future. To the extent that our customers elect to license technology from competitors, our competitive position could be adversely affected and we could lose market share. Furthermore, under many of our arrangements with customers, there is generally no minimum purchase obligation or guaranteed revenue stream.</w:t>
      </w:r>
    </w:p>
    <w:p>
      <w:pPr>
        <w:spacing w:after="0" w:line="166"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We are also subject to risks related to the competition faced by our customers in their particular industries, the engineering and marketing capabilities of our customers, the technical challenges unrelated to our products faced by our customers in developing their chips, and the financial and other resources of our customers. We cannot assure you that our customers and other partners will dedicate the resources necessary to promote and further develop chips incorporating our products, that they will manufacture chips containing our products in quantities sufficient to meet demand, that we will be successful in developing, expanding or maintaining our relationships with current or prospective customers or other partners, or that such customers will effectively and successfully promote and sell chips using our products. In addition, if their chips that incorporate our products are faulty, we may suffer reputational harm whether or not any fault results from our products. See “—Errors, defects, bugs or security vulnerabilities in or associated with our products could expose us to liability and damage our brand and reputation, which could harm our competitive position and result in a loss of market share.”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results of operations, particularly our licensing and royalty revenues, can vary significantly between periods and may be unpredictable.</w:t>
      </w:r>
    </w:p>
    <w:p>
      <w:pPr>
        <w:spacing w:after="0" w:line="14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experienced, and may in the future experience, significant fluctuations in our period-to-period results of operations. Our results may fluctuate and be unpredictable because of a variety of factors, including:</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entry into high-value agreements of which we historically have signed only a limited number each quarter;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mixture of license fees, royalties, and fees for software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correctly accrue royalty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terms and delivery and revenue recognition schedules of our agreements with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license renewals and license extensions;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demand for chips and end products that incorporate our products or expected future demand for such chips and end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 effects on demand for end products that incorporate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and sales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introduction of new technology by us, our customers or our competitors, or other actions taken by our competitors;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orders from, and shipments to, technology companies of chips based on our products from our semiconductor partners and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results of Arm China and its ability to make payments to us timely, or at all;</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litigation or developments in current litigation, including, but not limited to, a lawsuit with Qualcomm and Nuvia (each as defined below), as described under “—We are currently involved in pending litigation”;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new employees joining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bonuses and other remuneration to employees, including for retention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strategic investments, acquisitions or divestitures that we might undertake, and the timing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 chain constraints and inventory correction in or affecting the semiconductor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cyclical fluctuations in the semiconductor market and the markets of our customers’ end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sudden technological or other changes in the semiconductor industry, including consolidation among our customers;</w:t>
      </w:r>
    </w:p>
    <w:p>
      <w:pPr>
        <w:spacing w:after="0" w:line="130"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the global economy (such as inflation, rising interest rates or a recession), disruptions in the global supply chain (including shortages of critical semiconductor components and chips) or regulatory changes that impact the semiconductor industry;</w:t>
      </w:r>
    </w:p>
    <w:p>
      <w:pPr>
        <w:spacing w:after="0" w:line="29" w:lineRule="exact"/>
        <w:rPr>
          <w:rFonts w:ascii="Arial" w:cs="Arial" w:eastAsia="Arial" w:hAnsi="Arial"/>
          <w:sz w:val="16"/>
          <w:szCs w:val="16"/>
          <w:color w:val="auto"/>
        </w:rPr>
      </w:pPr>
    </w:p>
    <w:p>
      <w:pPr>
        <w:ind w:left="1080" w:right="50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political, regulatory, legal or economic conditions or geopolitical turmoil (including PRC-Taiwan relations), including terrorism, war (including the war in Ukraine) or political or military coups, state-sponsored or politically motivated cyberattacks, or foreign and domestic civil disturbances or political instability;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accounting policies and accounting standards applicable to us, and changes to key accounting estimates and judgments applied by us.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Accurate prediction of the timing of inception of new licenses and renewals of existing licenses is difficult because the development of a business relationship with a potential customer may frequently span a year or more. The fiscal quarter in which a new or renewed license agreement will be entered into, if at all, is difficult to predict, as are the financial terms of any such agreement.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license and royalty revenues are also affected by market conditions in the industries in which our customers operate, particularly in the semiconductor industry, which is cyclical by nature and impacted by broad economic factors, such as worldwide gross domestic product and consumer spending. The semiconductor industry has experienced significant and sometimes sudden and prolonged downturns in the past, including in recent years as a result of supply chain constraints.</w:t>
      </w:r>
    </w:p>
    <w:p>
      <w:pPr>
        <w:spacing w:after="0" w:line="18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As a result of these factors and others, many of which are outside of our control, it may be difficult for us to provide accurate forecasts of our revenues and results of operations for future periods, and such factors and others could have a material adverse effect on our business, competitive position, results of operations, financial condition and prospects.</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Customers may decide to license our architecture and develop their own processors based on our architecture, rather than utilize our processor products pursuant to an implementation license.</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customers may decide to license our ISA and develop their own processors based on our ISA, rather than utilize our predeveloped products through an implementation license, resulting in less fees paid to us. Customers may choose to develop their own processors if they believe they can do so more effectively than us or if supply and capacity constraints within the semiconductor industry further incentivize vertical integration in an effort to secure additional control over their supply chains. Some of these customers may have greater name recognition and substantially greater financial, management, marketing, service, support, technical, distribution and other resources than we do. If our customers, and particularly one or more key customers from whom we generate a significant portion of our total revenues, elect to develop their own processors based on our ISA, the market for our developed processor portfolio would decline, which could have a material adverse effect on our business, results of operations, financial condition and prospects.</w:t>
      </w:r>
    </w:p>
    <w:p>
      <w:pPr>
        <w:spacing w:after="0" w:line="30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revenue comes from a limited number of customers, which exposes us to greater risks than if our customer base were more diversified.</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 significant portion of our total revenue is generated from a limited number of key customers. In particular, our top five customers (including Arm China) collectively accounted for approximately % and 56% of our total revenue for the fiscal years ended March 31, 2023 and 2022, respectively, and our largest customer individually, Arm China, accounted for approximately % and 18% of our total revenue, respectively, during those fiscal years. As a result of this customer concentration, we are particularly susceptible to adverse developments affecting our key customers and their respective businesses, including industry downturns, decreased demand for their products, increased competition, changes in trade protection and other government policies, financial hardship and changes in their business model, purchasing behavior and strategic priorities, among other factors, many of which are beyond our control. In particular, developments in our key customers’ respective businesses that adversely affect their ability to satisfy their payment obligations to us or result in their determination not to continue or expand their use of our products would have a material adverse impact on our revenue and results of operations to a greater extent than if our customer base were more diversified. Our customer concentration also has afforded certain customers significant bargaining power, which has, in some cases, resulted in pricing or other contractual terms that are less favorable to us. For example, subject to certain limitations, certain of our contracts with key customers contain provisions allowing such customers to obtain licenses to our latest products as soon as they are made available to any other customer. If we were to lose one or more of our key customers or if our business with one or more key customers were to decrease significantly, whether as a result of external impacts on the business of those customers, or, for example, as a result of disputes with such customers with respect to pricing models, there are no assurances that we would be successful in identifying and contracting with one or more customers to replace any lost revenue, which would materially and adversely affect our business, results of operations, financial condition and prospects.</w:t>
      </w:r>
    </w:p>
    <w:p>
      <w:pPr>
        <w:spacing w:after="0" w:line="2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Consolidation in the semiconductor and electronics industries could have a material adverse effect on our business, results of operations, financial condition and prospects.</w:t>
      </w:r>
    </w:p>
    <w:p>
      <w:pPr>
        <w:spacing w:after="0" w:line="6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 number of business combinations, including mergers, asset acquisitions and strategic partnerships, have been consummated among our customers in the semiconductor and electronics industries, and more could occur in the future. Consolidation among our customers could lead to a loss of customers, increased customer bargaining power, or reduced customer spending on our products, each of which could have a material adverse effect on our business, results of operations, financial condition and prospects. For example, in the past some of our larger customers who have negotiated lower pricing models have acquired customers with higher pricing models. In some cases, we have been, and in the future may be, required to renegotiate the pricing model with the acquired company or to honor the lower pricing model applicable for the acquiring customer while providing the same products prior to the acquisition by the larger company.</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revenues predominantly come from a limited number of end markets.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Royalties from smartphones and consumer electronics comprised greater than % of our royalty revenue for the fiscal year ended March 31, 2023. In these end markets, our substantial existing market share may limit opportunities for future growth. Additionally, demand in these markets may be adversely impacted if consumers reduce their purchases of smartphones and consumer electronics as a result of changes in consumer behavior. If these end markets do not expand, we may be unable to continue to grow our revenues significantly from these markets, if at all. Additionally, circumstances outside of our control, such as the invention of new technologies, could adversely affect the smartphone and consumer electronics markets as a whole, which would have a material adverse impact on our revenue, profitability, and ability to attract new customers.</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products are extensible and have been licensed and used in various other target end markets. While these new target markets represent a meaningful opportunity for us, they may not grow or develop as quickly as we expect them to. Furthermore, it could take years to reach a market share similar to our position in smartphones and consumer electronics.</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Other microprocessor architectures such as x86 and RISC-V may already exist across all of these markets, or may be developed for applications within these markets. For applications in markets such as computing, data centers, networking and servers, competing microprocessor architectures, such as x86, already have a large, well-established customer base and are supported by a broad base of related software and development tools. These markets represent a significant portion of our revenue growth opportunity, and they also introduce new sources of competition, including, in some cases, incumbent competitors with established technologies, ecosystems, and customer bases, lower prices or costs, and greater brand recognition. These new markets may not grow as projected or at all, and we may not realize an adequate return on our investments. Due to the interdependence of various components in the products in which our architecture and our competitors’ architectures are used, customers are unlikely to change to another product, once adopted, until the next generation of a technology. As a result, even if our products are superior to alternative offerings, it may be difficult for our products to displace alternative technologies as a result of high switching costs to change to our products, including the need for potential customers to make significant investments in additional training and development tools and to convert software for existing devices. Additionally, to the extent our competitors have done business with prospective customers for a long period of time and have established relationships, our competitors may have information regarding future trends and requirements of such prospective customers that may not be available to us. If any of these markets do not develop as we currently anticipate or we fail to establish ourselves in these new markets, we could suffer a material adverse effect on our competitive position and business prospects.</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Fragmentation of the global semiconductor market could have a material adverse effect on our business, results of operations, financial condition and prospects.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sell our products across the semiconductor industry globally and rely on various markets across the world to generate revenue. The global market for our products, both where we are already established and new markets we intend to enter, may be impacted by geopolitical factors. A shift towards geopolitical rivalry could lead to the fragmentation of the global semiconductor market, as certain countries want more end-to-end control over architecture, leading to increased architectural fragmentation and a reduced role for a global architecture. Countries may take political decisions to enforce the use of an alternative architecture, or locally generated implementations for certain use cases, to make their country more resilient in the case of trade barriers or for national security reasons. For us, this could lead to increased costs to support region specific products, reduced revenue as a result of lost investment in territories that no longer use our products and potential market loss and loss of future licensing opportunities, all of which could have a material adverse effect on our business, results of operations, financial condition and prospects.</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we fail to develop new products in response to, or in anticipation of, rapid technological changes in our industry or the industries we serve, our business may be materially and adversely affected.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market for our products is characterized by rapidly changing technology and end-user needs. For example, improvements are rapidly being made in AI, cloud computing, data centers, image sensors, ML and the metaverse, among other technologies. Furthermore, the once-rapid improvements in semiconductor transistor density, with consequent reductions in cost and power consumption, are decelerating, and further innovation will become incrementally more difficult and expensive to achieve. As a result of these rapid technological changes and others currently unknown, the future market for our products is difficult to predict. These risks are further exacerbated by the fact that our products often use a common architecture for multiple end markets and our new architecture products often are based on legacy products. Therefore, if our architecture were rendered uncompetitive, obsolete, or otherwise unmarketable it may impact multiple products and may cause us to expend significant resources and incur significant expenses to develop a new architecture.</w:t>
      </w:r>
    </w:p>
    <w:p>
      <w:pPr>
        <w:spacing w:after="0" w:line="178" w:lineRule="exact"/>
        <w:rPr>
          <w:sz w:val="20"/>
          <w:szCs w:val="20"/>
          <w:color w:val="auto"/>
        </w:rPr>
      </w:pPr>
    </w:p>
    <w:p>
      <w:pPr>
        <w:ind w:left="120" w:right="420" w:firstLine="440"/>
        <w:spacing w:after="0" w:line="279" w:lineRule="auto"/>
        <w:rPr>
          <w:sz w:val="20"/>
          <w:szCs w:val="20"/>
          <w:color w:val="auto"/>
        </w:rPr>
      </w:pPr>
      <w:r>
        <w:rPr>
          <w:rFonts w:ascii="Arial" w:cs="Arial" w:eastAsia="Arial" w:hAnsi="Arial"/>
          <w:sz w:val="17"/>
          <w:szCs w:val="17"/>
          <w:color w:val="auto"/>
        </w:rPr>
        <w:t>Our business, reputation and relationships with our third-party partners could be adversely affected if we cannot develop technological improvements or adapt our products to technological changes on a timely basis. Whether we will be able to compete in the future will substantially depend on our ability to advance our products to meet these changing market and end-user needs and to anticipate successfully or respond to technological changes in hardware, software and architecture standards on a cost-effective and timely basis.</w:t>
      </w:r>
    </w:p>
    <w:p>
      <w:pPr>
        <w:spacing w:after="0" w:line="27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Developing new products requires us to expend significant resources without assurances that we will generate revenue in the amounts we anticipate, on the expected timeline or at all.</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will have to make significant expenditures to continue developing our semiconductor products and other products. The long development time of generally five or more years from the initial design of our semiconductor products until its incorporation into new end-user applications can place significant strain on our financial resources and personnel. Despite these investments, there can be no assurances that we will realize the financial benefits of our development efforts in the amounts we anticipate, on the expected timeline or at all. For instance, in the past we have experienced delays in the development of certain of our products, which then delayed product deployment and the associated revenues.</w:t>
      </w:r>
    </w:p>
    <w:p>
      <w:pPr>
        <w:spacing w:after="0" w:line="16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may be unable to predict the timing or development of trends in our target markets with any accuracy. If we fail to accurately predict market requirements or market demand for our products in our target markets, our business will suffer. A market shift towards an industry standard that we do not currently support and for which we are not currently developing new products could significantly decrease the demand for our products. Despite these uncertainties, we devote substantial financial and other resources, including design, engineering, sales, marketing, and management efforts, to developing and marketing our products in anticipation of incorporation into new end-user applications. Additionally, our competitors may have a competitive advantage if their assessments relating to market adoption of new technologies prove to be more accurate than our assessments. Our failure to anticipate or timely develop new or enhanced products in response to changing market demand, could result in the loss of customers and decreased revenue and have a material and adverse effect on our business, cash flows, results of operations and prospects.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we develop and introduce new products, we face the risk that customers may not value or be willing to bear the cost of incorporating these newer products into their chips, including increases in royalty rates for such new products (as compared to existing products), particularly if they believe their customers are satisfied with the current products or unwilling to pay for improved products. Regardless of the improved features or superior performance of the newer products we develop, customers may be unwilling to adopt our new products for a variety of reasons, including design or pricing constraints. Moreover, the complexity and expense associated with our products generally requires a lengthy customer education, evaluation and approval process. Further, economic conditions, including economic downturns and rising rates of inflation, may adversely impact our ability to license products by making it difficult for our customers to plan future business activities, which could cause customers to limit spending or delay decision-making.</w:t>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may not be successful in developing and licensing new products and may experience difficulties or delays that would prevent the successful development, introduction and marketing of new products, and any new products that we may introduce may not achieve market acceptance and generate royalties and profits in the amounts we anticipate, on the expected timeline or at all, which could materially and adversely affect our business, cash flows, results of operations and prospects. These risks are further exacerbated by our focus on developing and marketing high-value products, which naturally require more resources to develop.</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concentration of revenue from the PRC market makes us particularly susceptible to economic and political risks affecting the PRC, which could be exacerbated by tensions between the U.S. and the PRC with respect to trade and national security.</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the fiscal years ended March 31, 2023, 2022 and 2021, revenues from the PRC accounted for approximately %, 18% and 20% of our total revenues, respectively, including both direct revenues and revenues derived from our relationship with Arm China. Our revenues in the PRC are derived from PRC semiconductor companies and OEMs, and from non-PRC semiconductor companies and OEMs that utilize our products in chips and end products they sell into the PRC, which, by country, has the largest number of smartphone users in the world. Our failure to maintain PRC-sourced revenues, access new and existing markets in the PRC or gain traction for new business areas in the PRC, or our loss of market share to competition in the PRC, could materially and adversely affect our results of operations and competitive position.</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past decade, the PRC has been a significant source of semiconductor industry revenues and growth. However, the near-term growth prospects of the PRC semiconductor industry and related industries are unclear due to the uncertain effects of ongoing economic stress caused by policies to contain the COVID-19 pandemic, trade and national security policies, and the elevated levels of private and public indebtedness. A prolonged downturn in the PRC semiconductor industry or the PRC economy generally could materially and adversely affect our results of operations and competitive position.</w:t>
      </w:r>
    </w:p>
    <w:p>
      <w:pPr>
        <w:spacing w:after="0" w:line="188"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Political actions, including trade and national security policies of the U.S. and PRC governments, such as tariffs, placing companies on restricted lists, export controls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Given our revenue concentration in the PRC, if, due to actual, threatened or potential U.S., U.K. or PRC government actions or policies: Arm China is further limited in, or prohibited from, licensing our products to PRC semiconductor companies and OEMs; our non-PRC semiconductor companies and OEM customers were limited in, or prohibited from, selling devices into the PRC that incorporate our products; PRC semiconductor companies and OEMs develop and use their own technology or use our competitors’ technology in some or all of their devices; or our PRC customers delay or cease making payments of license fees owed, our business, revenues, results of operations, cash flows and financial condition could be materially harmed.</w:t>
      </w:r>
    </w:p>
    <w:p>
      <w:pPr>
        <w:spacing w:after="0" w:line="18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U.S. and U.K. have trade and national security policies regarding exports to the PRC of technology with potential military uses that would require us to obtain export licenses for certain processors, which can be difficult to obtain. For example, the highest performance processor in our Neoverse series of processors meets or exceeds performance thresholds under U.S. and U.K. export control regimes and thereby triggers U.S. and U.K. export license requirements prior to export and delivery to customers in the PRC. Given that national security concerns are higher for High Performance Computing (“HPC”) technologies destined to the PRC and government response timelines are not defined, it can be challenging and unpredictable to obtain such export licenses. Combined with customer need for certainty, we have been able to address customer demand by licensing other CPU cores that do not exceed the HPC performance export control thresholds but yet still present a compelling solution. Although our inability to sell such Neoverse processor into the PRC has not had a material impact on our business to date, future restrictions on sales of our products into the PRC could have a material adverse impact on our business.</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Finally, government policies in the PRC that regulate the amount and timing of funds that may flow out of the country have impacted and may continue to impact the timing and/or ability to receive funds generated from PRC-related revenues, which may negatively affect our cash flows.</w:t>
      </w:r>
    </w:p>
    <w:p>
      <w:pPr>
        <w:spacing w:after="0" w:line="232"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We depend on our commercial relationship with Arm China to access the PRC market. If that commercial relationship no longer existed or deteriorates, our ability to compete in the PRC market could be materially and adversely affected.</w:t>
      </w:r>
    </w:p>
    <w:p>
      <w:pPr>
        <w:spacing w:after="0" w:line="6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Substantially all of our PRC-related revenue is earned through the IPLA, pursuant to which, among other things, we granted Arm China certain exclusive rights to sublicense our IP to PRC customers. We expect that our licensing relationship with Arm China will continue to account for substantially all of our total revenues from the PRC and represent a significant portion of our revenues for the foreseeable future. It would be difficult for us to replace any lost PRC-sourced revenue in the event that our commercial relationship with Arm China were to terminate or deteriorate. Accordingly, we expect that Arm China will continue to provide our primary access to the PRC market for the foreseeable future. If we fail to maintain our commercial relationship with Arm China, our access to the PRC market could be materially diminished and our business, results of operations, financial condition and prospects for growth could be materially and adversely affected.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Neither we nor SoftBank controls the operations of Arm China, which operates independently of us.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Despite our significant reliance on Arm China through our commercial relationship with them, both as a source of revenue and a conduit to the important PRC market, Arm China operates independently of us. On March 28, 2022, we transferred our entire equity interest in Arm China to a subsidiary of SoftBank. As of the date of this prospectus, approximately 48% of the equity interest in Arm China is owned by Acetone Limited, which is controlled by SoftBank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9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Furthermore, we do not have any direct management rights with respect to Arm China, such as a right to representation on Arm China’s board of directors, although Mr. Haas continues to serve on the board as an appointee of the SoftBank affiliate holding Arm’s former equity interest in Arm China. Following the transfer of our interest in Arm China to a subsidiary of SoftBank, under the terms of the Arm China arrangement, the SoftBank affiliate holding Arm’s former equity interest in Arm China is entitled to appoint a minority of the directors of the board of Arm China, and SoftBank’s appointees are unable to unilaterally implement certain measures that require action by all of or a supermajority of the directors of Arm China.</w:t>
      </w:r>
    </w:p>
    <w:p>
      <w:pPr>
        <w:spacing w:after="0" w:line="16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fact that Arm China operates independently of us exposes us to significant risks. Arm China’s value to us as a customer is dependent on Arm China’s business results, which are, in turn, subject to substantial risks that are outside of our control. For example, Arm China may not commit the necessary resources to market and sell our products to PRC end users of our semiconductor IP products. Arm China also may fail to comply with the laws and regulatory requirements applicable to its business, which could limit its ability to market or sell our products in the PRC. In addition, Arm China may fail to attract, train, retain and motivate highly skilled managerial and technical personnel necessary for its business. Arm China may also have difficulties accessing funding or enforcing contractual relationships. The realization of these or other risks related to Arm China’s business may have a material adverse effect on Arm China’s business, results of operations, financial condition and prospects and, by extension, our own. Since Arm China operates independently of us and we do not control Arm China, our ability to take measures to address the various risks facing Arm China is limited. If any of such risks related to Arm China’s business are realized, our revenue could materially decline and our results of operations could be materially adversely affected.</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the IPLA with Arm China, Arm China’s payments due to us are determined based on the financial information that Arm China provides to us. Accordingly, similar to our other royalty customers, we are dependent on Arm China providing us with reliable information. We perform various procedures to assess the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reasonableness of Arm China’s data, and the IPLA includes rights for us to audit Arm China’s activities to ensure compliance with the IPLA. In the past, we have had issues obtaining timely and accurate information from Arm China. We believe the underlying problems causing our past inability to obtain such information have been resolved, but we can provide no assurances that our access to Arm China’s records will not be inhibited again in the future.</w:t>
      </w:r>
    </w:p>
    <w:p>
      <w:pPr>
        <w:spacing w:after="0" w:line="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If Arm China does not provide us with timely and accurate information, our revenue could materially decline and our results of operations could be materially adversely affected. We are also dependent on Arm China paying us the amounts that it owes us in a timely manner and in full. In the past, we have received late payments from Arm China and have had to expend company resources to obtain payments from Arm China. Although these historical issues did not have a material impact on our operations, any future failure to pay us the amounts we are owed under the IPLA could have a material adverse effect on our business, results of operations, cash flows and financial condition.</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Furthermore, Arm China has possession of or access to certain material IP and customer data pursuant to the IPLA and other commercial arrangements with us. Although Arm China is contractually obligated to protect this IP and data, we are limited in our ability to monitor or influence the manner in which Arm China protects our IP and data from theft, loss or misuse. Arm China operates its own separate information technology infrastructure. Aside from customary audit rights and protections under the IPLA, we are therefore unable to independently assure the adequacy of protections that Arm China implements with respect to its possession and/or access to our IP and data.</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under the IPLA with Arm China, we are contractually obligated to indemnify both Arm China and its PRC customers that sublicense our IP in the event that either Arm China or such customers incur damages or costs in lawsuits, administrative proceedings or similar actions based upon a claim that our IP infringes the IP of a third party. The liability that we incur to Arm China or its PRC customers under such provisions could be significant and have a material adverse effect on our results of operations and liquidity.</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Additionally, since April 2022, Allen Wu, the former chief executive officer of Arm China, and certain entities under his effective control, have initiated several lawsuits in the courts of the PRC seeking to challenge certain aspects of Arm China’s corporate governance and the actions of Arm China’s board of directors. To date, all cases that have been resolved at the trial court level have been resolved favorably to Arm China but are subject to appeal. In the event that certain of these cases were to be decided adversely to Arm China, it could result in further changes to Arm China’s corporate governance and management structure, which could reduce SoftBank’s ability to conduct effective oversight of Arm China and result in a material adverse effect on our business, results of operations, financial condition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increasing competition with PRC companies that develop their own IP.</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Due to various factors, including pressure, encouragement or incentives from, as well as the policies of, the PRC government (whose “Made in China 2025” campaign targets 70% semiconductor self-sufficiency by 2025), concerns over actual, threatened or potential U.S., U.K. or PRC government actions or policies, including trade or national security policies, or other reasons, PRC semiconductor companies and OEMs may increasingly develop their own technology and use such technology in their devices, or use our competitors’ technology in their devices. Specifically, the PRC government’s 14th Five-Year Plan and related initiatives have identified the development of globally competitive PRC companies in “core technologies” such as semiconductors as a key policy focus. As part of a government-wide effort to encourage investment and development of domestic semiconductor capabilities, the PRC government could encourage financing opportunities to our competitors in the PRC on favorable terms, or influence major PRC customers to favor adoption of IP of our competitors in the PRC over our own IP.</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With respect to Arm China, although the terms of the IPLA with Arm China prohibit Arm China from developing microprocessor cores and only allow Arm China to develop derivative products using Arm IP with our consent, Arm China may independently develop competitive products other than microprocessor cores and</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could divert customer interest from our products to increase its market share to our detriment. The realization of any such risks could materially harm our business, results of operations, cash flows and financial condition.</w:t>
      </w:r>
    </w:p>
    <w:p>
      <w:pPr>
        <w:spacing w:after="0" w:line="2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business and future operating results may be materially and adversely affected by global economic conditions and other events outside of our control.</w:t>
      </w:r>
    </w:p>
    <w:p>
      <w:pPr>
        <w:spacing w:after="0" w:line="6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In early 2023, the World Bank warned that the global economy is close to a recession with global growth sharply declining due to, among other things, high inflation, deteriorating financial conditions, and rising geopolitical tensions. We are subject to risks arising from adverse changes in global economic conditions. In particular, due to economic uncertainties in many of our key markets, our customers and their customers may delay, suspend or reduce technology purchases and investments and/or delay their payments to us.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Economic conditions could continue to deteriorate in the future, and, in particular, the semiconductor and electronics industries could fail to grow, including as a result of the effects of, among other things, rising inflation and interest rates, a sustained global semiconductor shortage, supply chain disruptions, the COVID-19 pandemic and any disruption of international trade relationships such as tariffs, export licenses or other government trade restrictions. In addition, adverse economic conditions affect demand for devices that our products help create, such as smartphones, automobiles and servers. Longer-term reduced demand for these or other devices could result in reduced demand for our products and significant decreases in our licensing fees and royalties over time. In addition, if our customers or distributors build elevated inventory levels, we could experience a decrease in short-term and/or long-term demand for our products. If any of these events or disruptions were to occur, the demand for our products could be materially adversely affected along with our business, results of operations, financial condition and prospects.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business and operating results are also vulnerable to interruption by other events outside of our control, such as earthquakes, fire, extreme weather events, power loss, telecommunications failures, political instability, geopolitical turmoil, such as the war in Ukraine and any sanctions, export controls or restrictions on doing business with Russia and Belarus, as well as any resulting disruption, instability or volatility in the global markets and industries resulting from such conflict, pandemics, military conflict and uncertainties arising out of terrorist attacks, including a global economic slowdown, the economic consequences of a resurgence and escalation of the trade war between the U.S. and the PRC, the potential for conflict in Taiwan and the associated disruptions to, or effects on, the semiconductor industry, uncertainties resulting from the U.K.’s withdrawal from the European Union, commonly referred to as Brexit, military action or terrorist activities and associated political instability. Economic or political instability may undermine consumer confidence and/or cause current or potential customers, including the end customers of our customers or potential customers, to reduce or delay their technology purchases and investments. Such an event could also materially adversely affect our ability to operate and supply our products to our customers.</w:t>
      </w:r>
    </w:p>
    <w:p>
      <w:pPr>
        <w:spacing w:after="0" w:line="18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Brexit has caused, and may continue to cause, uncertainty with respect to the future of the U.K.’s economic and political relationship with the European Union, which could increase taxes and costs of business and cause heightened volatility in currency exchange rates and interest rates. The unavoidable continued uncertainty and events related to Brexit could have a negative impact on consumer confidence and wages, leading to a decrease in the gross domestic product of the U.K. Brexit could also adversely affect the political, regulatory, economic or market conditions in the U.K., European Union and worldwide, and could contribute to instability in political institutions, regulatory agencies and financial markets.</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government- insured limits. The U.S. Federal Deposit Insurance Corporation took control and was appointed receiver of Silicon Valley Bank and New York Signature Bank on March 10, 2023 and March 12, 2023, respectively. We do not have any direct exposure to Silicon Valley Bank or New York Signature Bank. However, if other banks and financial institutions, including financial institutions at which we maintain deposits, enter receivership or become insolvent in the future in response to financial conditions affecting the banking system and financial markets, our ability and our customers’ ability to access cash, cash equivalents and investments may be threatened.</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These factors could cause customers to delay, decrease or cancel the licensing of our products and could expose us to increased credit risk on customer obligations owed to us, each of which could have a material adverse effect on our business, results of operations, financial condition and prospects.</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operating results and revenue could be adversely affected by customer payment delays, customer bankruptcies and defaults or modifications of contractual commitments.</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Certain of our customers have and may continue to, and others in the future may, face challenging financial or operating conditions, including due to macroeconomic conditions or catastrophic events or other factors,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certain of our customers have in the past sought, and customers may in the future seek, to renegotiate pre-existing contractual commitments. Payment defaults by our customers or significant reductions in existing contractual commitments could have a material adverse effect on our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Sustained inflation could have a material adverse effect on our business, results of operations, financial condition and prospects.</w:t>
      </w:r>
    </w:p>
    <w:p>
      <w:pPr>
        <w:spacing w:after="0" w:line="1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Inflation rates in the markets in which we operate have increased and may continue to rise. Sustained or increasing inflation could increase our operating expenses, including labor costs and research and development expenditures, or result in employee attrition to the extent our remuneration does not keep pace with inflation, particularly if our competitors’ remuneration does. Further, inflationary pressures may increase costs for our customers and reduce demand for our products or our customers’ products due to increased prices. In addition, some of our long-term licenses include an annual increase in license fees. However, these annual increases may fall below the then-current rate of inflation, which could make maintaining these licenses less profitable than we had anticipated when we originally signed the license. To the extent inflation results in rising interest rates and has other adverse effects on the market, it may further adversely affect our business, results of operations, financial condition and prospects.</w:t>
      </w:r>
    </w:p>
    <w:p>
      <w:pPr>
        <w:spacing w:after="0" w:line="27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An epidemic, pandemic or other health crisis could materially and adversely affect our business, results of operations, financial condition and prospects</w:t>
      </w:r>
    </w:p>
    <w:p>
      <w:pPr>
        <w:spacing w:after="0" w:line="62"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Public health crises, including the COVID-19 pandemic and the emergence and spread of COVID-19 variants, have previously resulted in significant economic uncertainty, significant volatility in business and consumer confidence and global consumer demand, and a global economic slowdown. Government policies and other preventive and precautionary measures that governments and businesses have implemented in the past to limit the spread of an epidemic, pandemic or other health crisis, including, but not limited to, travel bans and restrictions, quarantines, shelter-in-place and social distancing orders, declarations of states of emergency and shutdowns, have exacerbated these issues.</w:t>
      </w:r>
    </w:p>
    <w:p>
      <w:pPr>
        <w:spacing w:after="0" w:line="16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Although restrictions may from time to time ease in certain jurisdictions, there is continued uncertainty regarding the duration, scope and severity of the COVID-19 pandemic, particularly with the emergence of new variants of COVID-19 and periodic spikes in COVID-19 cases in various geographic regions. In particular, the recent resurgence of the pandemic in the PRC, one of our most significant markets, after the government abandoned its zero-tolerance policy for COVID-19, may cause the reinstatement of restrictions across various jurisdictions and could adversely affect many industries in the PRC and globally. The pandemic in the PRC has resulted from time to time in widespread lockdowns in various areas of the country and has had, and may continue to have, a significant adverse effect on the PRC economy and, in turn, demand for our products.</w:t>
      </w:r>
    </w:p>
    <w:p>
      <w:pPr>
        <w:spacing w:after="0" w:line="16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COVID-19 pandemic has also contributed to volatility in the financial markets and may increase the possibility of an extended global economic downturn and extended periods of high inflation, which could</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continue to affect demand for our products, demand for end products that incorporate our products and our ability to collect payments from our customers.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unable to accurately predict the impact that COVID-19 will continue to have on our business, results of operations, financial condition and prospects due to uncertainties, including the existence, severity and duration of future outbreaks and additional actions that may be taken by businesses and governmental authorities. Nevertheless, to the extent the COVID-19 pandemic or an unrelated epidemic, pandemic or other health crisis adversely affects our business, it may also have the effect of heightening many of the other risks described in these risk factors relating to our business and industry, such as those relating to demand for end products incorporating our products. The cumulative effects of these developments could have a material adverse effect on our business, results of operations, financial condition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adequately fund our research and development efforts may materially impair our ability to compete effectively.</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remain competitive, we must continue to develop new products, applications and enhancements to our existing products and services, particularly as next generation technology is adopted by market participants. Allocating and maintaining adequate research and development resources, such as the appropriate personnel and development technology, to meet the evolving demands of the market is essential to our continued success, but our allocations may be inadequate or we may pursue research and development initiatives based on assumptions about future demand that prove to be incorrect. Our competitors may expend considerably greater resources to support their respective research and development programs than we do, which may give our competitors a competitive advantage.</w:t>
      </w:r>
    </w:p>
    <w:p>
      <w:pPr>
        <w:spacing w:after="0" w:line="19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ability to fund research and development expenditures depends on generating sufficient revenue and cash flow from operations and the availability of external financing, if necessary. Our research and development expenditures, together with other ongoing operating expenses, is a substantial drain on cash flow and may decrease cash balances, which may limit our ability to pursue other potentially attractive initiatives. On the other hand, if we allocate our resources to such other potentially attractive initiatives or pay dividends to our shareholders, our research and development efforts may be harmed or we may need to seek external financing in order to fund our efforts. If new competitors, technological advances by existing competitors, other competitive factors or market changes require us to invest significantly greater resources than anticipated in research and development efforts, total operating expenses would increase. If we are required to invest significantly greater resources than anticipated in research and development efforts without an associated increase in revenue, our operating results could decline.</w:t>
      </w:r>
    </w:p>
    <w:p>
      <w:pPr>
        <w:spacing w:after="0" w:line="178"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Additionally, our processors often run software created by independent software vendors or through open-source communities. Each end market has its own ecosystem of software and tools providers, including from open-source communities. These ecosystems need to be supported by our engineers and resources, and by our customers, including, from time to time, through direct monetary investment. In some circumstances, we may also need to subsidize or fund our customers’ research and development efforts. Insufficient investment may result in the ecosystems and/or customers providing better support for end products not based on our products leading to systems companies not choosing chips based on our products, which would result in a reduction in our revenues.</w:t>
      </w:r>
    </w:p>
    <w:p>
      <w:pPr>
        <w:spacing w:after="0" w:line="30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76"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semiconductor industry relies on a limited number of companies to manufacture chips and related products. The chip manufacturing operations of these companies are concentrated in certain geographic regions,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including Taiwan and other parts of East Asia, which makes us susceptible to adverse developments in these regions’ economic and political conditions, particularly to the extent that such developments create an unfavorable business environment that significantly affects our and our customers’ operations. These manufacturers or the geographic regions in which they operate may be impacted by events outside of our or their control, including, among other things, company-specific operational issues, trade conflicts and military action or terrorist activities and associated political instability, any of which could have a material adverse effect on our business, results of operations, financial condition and prospects. Although the governments of certain countries, including the United States, have taken actions to make their countries more attractive for chip manufacturing operations, there can be no assurances that the current geographic concentration of chip manufacturing will be meaningfully changed in the near term or at all.</w:t>
      </w:r>
    </w:p>
    <w:p>
      <w:pPr>
        <w:spacing w:after="0" w:line="16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Any escalation in geopolitical tensions in Asia, particularly between the PRC and Taiwan, could significantly disrupt semiconductor chip manufacturing and interrupt the global semiconductor chip supply chain. A significant portion of the world’s semiconductor manufacturing is in Taiwan, and increased geopolitical tensions there could exacerbate supply chain disruptions. In addition, the war in Ukraine could lead to market disruptions and exacerbate current supply chain constraints, including with respect to certain materials and metals, which are essential in semiconductor manufacturing.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 technologies, such as AI and ML, may use algorithms that are not suitable for a general purpose CPU, such as our processors.</w:t>
      </w:r>
    </w:p>
    <w:p>
      <w:pPr>
        <w:spacing w:after="0" w:line="1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New technologies, such as AI and ML, may use algorithms that are not suitable for a general purpose CPU, such as our processors. Consequently, our processors may become less important in a chip based on our products, thus eroding its value to the customer and resulting in lower revenue for us. If we are unable to develop and commercialize processors that are compatible with new technologies or competitors are successful in developing compatible technologies more quickly or efficiently then we can, our business, competitive position, results of operations, financial condition and prospects may be materially and adversely affected.</w:t>
      </w:r>
    </w:p>
    <w:p>
      <w:pPr>
        <w:spacing w:after="0" w:line="296"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rely on our management team and will need additional personnel to grow our business, and the loss of one or more key employees or our inability to attract and retain qualified personnel could harm our business.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future success is substantially dependent on our ability to attract, integrate, retain and motivate our management team and other key personnel and we are particularly dependent on our senior management team, including Mr. Haas, our Chief Executive Officer, Mr. Child, our Chief Financial Officer, Mr. Collins, our Chief Legal Officer, Mr. Grisenthwaite, our Chief Architect, and other key employees. Competition for highly skilled personnel, and particularly engineers, can be intense. Other companies may be successful in recruiting and hiring members of our management team or other key employees, and it may be difficult for us to find suitable replacements on a timely basis, on competitive terms or at all. We experience voluntary attrition on an ongoing basis, and we reduced overall headcount as part of a restructuring that was completed in June 2022 to address duplicative work functions and deprioritize certain initiatives within the Company. Circumstances may require a further reduction in the overall size of our organization, which may present challenges in managing and growing our business. If we lose the services of any of our senior management personnel, other key personnel or a significant number of our engineers or sales and marketing personnel, our development efforts or business relationships could be disrupted, which could have a material adverse effect on our business, results of operations, financial condition and prospects. Our future success significantly depends on our ability to identify, attract, motivate and retain qualified engineers with the requisite educational background and industry experience. Competition for such qualified engineers is intense and the cost of attracting and retaining qualified employees may increase without a corresponding increase in the prices we charge our customers, which could materially and adversely affect our profitability. In certain geographic regions, there is also intense competition for sales and marketing personnel, which may adversely affect our ability to expand into new markets. Particularly, changes to the U.K.’s border and immigration policy could occur as a result of Brexit, potentially affecting our ability to recruit and retain employees from outside the U.K. If we are unsuccessful in attracting and</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retaining qualified personnel to fulfill our current or future needs, our business, results of operations, financial condition and prospects could be materially and adversely affected.</w:t>
      </w:r>
    </w:p>
    <w:p>
      <w:pPr>
        <w:spacing w:after="0" w:line="278"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Competitive pressures or market opportunities may necessitate reductions in our pricing or change our business terms or business model, which could materially and adversely affect our business, results of operations, financial condition and prospects.</w:t>
      </w:r>
    </w:p>
    <w:p>
      <w:pPr>
        <w:spacing w:after="0" w:line="3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order to remain competitive in the highly competitive markets in which we do business, we may need to reduce the prices of our products or services or otherwise change the structure and terms of our customer relationships or our business model. If our competitors offer significant discounts on certain products in an effort to recapture or gain market share or to sell other software or hardware products, we may need to lower our prices or offer other favorable terms to compete successfully. Any such changes would likely reduce our profit margins and could have a material adverse effect on our business, results of operations, financial condition and prospects. Any substantial changes to our other commercial arrangements with our customers or our business model could cause revenues to decline or be delayed as our sales force implements and our customers adjust to the commercial arrangements or business model. Changes to our business model could also necessitate changes in our product mix, which could cause revenues or profitability to decline, particularly if such changes in our product mix result in an increased reliance on lower margin offerings. If we cannot offset price reductions with a corresponding increase in sales volume or by reducing our costs, then the reduced revenues resulting from lower prices could have a material adverse effect on our business, results of operations, financial condition and prospects.</w:t>
      </w:r>
    </w:p>
    <w:p>
      <w:pPr>
        <w:spacing w:after="0" w:line="16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Additionally, in the future, in response to market opportunities, we may consider offering new products or services that might be perceived as directly competing with the products and services of our customers or partners. This may create real or perceived competitive conflicts with companies that are important to our business, and it is possible that, as a result of such competition, such customers or partners may terminate or materially reduce their relationship with us.</w:t>
      </w:r>
    </w:p>
    <w:p>
      <w:pPr>
        <w:spacing w:after="0" w:line="29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7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believe that it is crucial for the market acceptance of our products to have available development tools, systems software, EDA software and operating systems that are compatible with our products. Although we currently work with other third-party partners to offer such tools and software compatible with our products, we cannot assure you that such tools and software are or will continue to be sufficient to support customers’ needs, that our existing partners will continue to offer such tools, software and operating systems compatible with our products, or that we will continue to attract additional tools, software and operating systems partners. 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2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Participation in standards-setting organizations may subject us to IP licensing requirements or limitations that could adversely affect our business and prospects.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participation in standards-setting organizations or with other industry initiatives may require us to license our patents or products to companies that adopt industry-standard specifications. Depending on the rules of the organization, government regulations, or court decisions, we may be required to grant to all other participants licenses to our patents or products that are essential to the practice of those standards for little or no cost, or otherwise on RAND terms, which could limit our control over the use of these patents and products. If we fail to limit to whom we license our patents or products, or fail to limit the terms of any such licenses, we may be required to license our patents or other IP to others in the future, which could limit the effectiveness of</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patents against competitors. In these situations, the royalty rates we charge could be limited for these products, and we may be unable to limit to whom we license such products or to restrict many terms of the license. As a result, we may be unable to enforce certain patents against others, our costs of enforcing our licenses or protecting our patents may increase, and the value of our IP rights may be impaired. We may in the future be subject to claims that our licensing of industry standard technologies may not conform to the requirements of the standards-setting organization. Allegations such as these could be asserted in private actions seeking monetary damages and injunctive relief, or in regulatory actions. Claimants in such cases could seek to restrict or change our licensing practices or our ability to license our products. Any of the foregoing could have a material adverse effect on our business, results of operations, financial condition and prospects.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products do not conform to, or are not compatible with, existing or emerging industry standards, demand for our products may decrease.</w:t>
      </w:r>
    </w:p>
    <w:p>
      <w:pPr>
        <w:spacing w:after="0" w:line="14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design certain of our products to conform to industry standards. Some industry standards may not be widely adopted or implemented uniformly, and competing standards may emerge that may be preferred by our customers or by our third-party suppliers. In addition, existing standards may be superseded by new innovations or standards. Because our products often use a common architecture and our new architecture products often are based on legacy products, obsolescence of components or features of our products may have a more significant effect on our results of operations, financial condition and prospects than if our products were less interrelated. See “—Developing new products requires us to expend significant resources without assurances that we will generate revenue in the amounts we anticipate, on the expected timeline or at all.”</w:t>
      </w:r>
    </w:p>
    <w:p>
      <w:pPr>
        <w:spacing w:after="0" w:line="272"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use certain software governed by open-source licenses and we contribute to certain open-source projects, which under certain circumstances could materially adversely affect our business, results of operations, financial condition and prospects.</w:t>
      </w:r>
    </w:p>
    <w:p>
      <w:pPr>
        <w:spacing w:after="0" w:line="3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Certain of our software, as well as that of our customers, third-party partners and vendors, may be derived from “open-source” software that is generally made available to the public by its authors or other third parties. Open-source software is made available under licenses that impose certain obligations on us in the event we were to distribute derivative works of the open-source software. These obligations may require us to make source code for the derivative works available to the public and/or license such derivative works under a particular type of license, rather than the forms of license we customarily use to protect our IP. In the event that the copyright holder of any open-source software were to successfully establish in court that we had not complied with the terms of a license for a particular work, we could be required to release the source code of that work to the public or stop distribution of that work if the license is terminated, which could adversely affect our business, results of operations, financial condition and prospects.</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While we take steps to monitor the use of all open-source software in our products and try to ensure that no open-source software is used in such a way as to require us to disclose the source code to the related products when we do not wish to do so, such use could inadvertently occur. Additionally, if a third-party software provider has incorporated certain types of open-source software into software we license from such third party for our products, we could, under certain circumstances, be required to disclose the source code to our products. This could harm our IP position and have a material adverse effect on our business, results of operations, financial condition and prospects.</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Further, although some open-source vendors provide warranty and support agreements, it is common for such software to be available “as-is” with no warranty, indemnity or support. Some of our products use open-source libraries that could contain vulnerabilities, and these may be discovered at any time. These vulnerabilities are often disclosed publicly without forewarning to the users of the software. Accordingly, our products may contain vulnerabilities originating from open-source software without our knowledge, and we may not have the opportunity to address such vulnerabilities before they are disclosed to the public. Although we monitor our use of open-source software to avoid subjecting our products to unintended conditions or</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vulnerabilities, such use, under certain circumstances, could materially adversely affect our business, results of operations, financial condition, prospects and reputation, including if we are required to take remedial action that may divert resources away from our development efforts.</w:t>
      </w:r>
    </w:p>
    <w:p>
      <w:pPr>
        <w:spacing w:after="0" w:line="14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Finally, from time to time we contribute software source code to open-source projects under open-source licenses. Any source code we contribute to open-source projects is publicly available. As such, our ability to protect our IP rights with respect to such software source code may be limited or lost entirely, and we may be unable to prevent our competitors or others from using such contributed software source code. Any of these risks could be difficult to eliminate or manage, and could harm our IP position and have a material adverse effect on our business, results of operations, financial condition and prospects.</w:t>
      </w:r>
    </w:p>
    <w:p>
      <w:pPr>
        <w:spacing w:after="0" w:line="29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It may be difficult for us to verify customer data, including royalty amounts owed to us under our licensing agreements, and this may cause us to lose revenues.</w:t>
      </w:r>
    </w:p>
    <w:p>
      <w:pPr>
        <w:spacing w:after="0" w:line="62"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seek to ensure that our customers adhere to the terms of our license agreements, including their obligation to provide certain data to us. We perform various procedures to assess customer data related to royalties for reasonableness, and our license agreements generally include rights for us to audit the books and records of our customers to verify certain types of customer data. However, audits can be expensive and time-consuming, and even after conducting an audit, it may still be challenging for us to verify the accuracy of information contained in customer royalty reports, or a customer could potentially object to the results of such audit. We can provide no assurances that our procedures to assess customer data and any audits that we undertake to verify the accuracy of our customers data will be successful. As a result, we may not always receive complete or accurate information (financial or otherwise) from our customers or obtain all royalty payments to which we are legally entitled, which could have a material adverse effect on our business, results of operations, financial condition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Changes in our business model could have a material adverse effect on our business, results of operations, financial condition and prospects.</w:t>
      </w:r>
    </w:p>
    <w:p>
      <w:pPr>
        <w:spacing w:after="0" w:line="14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have in the past made and may in the future make changes to our business model. We can provide no assurances that customers will accept these changes, which could result in lower revenues, particularly in the period immediately following the initial introduction of a new business model. In such case, we may not realize the anticipated financial benefits of such changes in the amounts we anticipate, on the expected timeline or at all. For example, we recently introduced new approaches to licensing certain of our products to our customers. As a result of introducing a relatively small annual fee under one new licensing model, for example, the payment by customers of fees under this new licensing model will be collected based on the negotiated annual fee leading to a deferral of upfront license fees that we have historically received under a TLA. This deferral of such licensing fees is expected to continue to have an adverse effect on our licensing revenue in the short term.</w:t>
      </w:r>
    </w:p>
    <w:p>
      <w:pPr>
        <w:spacing w:after="0" w:line="17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increases in the number or value of licenses signed in the future may not materialize in the same way or at all under a new business model and, therefore, licensing revenue and royalty revenue may be lower than expected. Further, the use of a new business model may have unexpected consequences for our company, including making our products less attractive to current and prospective customers, which could have a material adverse effect on our business, competitive position, results of operations, financial condition and prospects.</w:t>
      </w:r>
    </w:p>
    <w:p>
      <w:pPr>
        <w:spacing w:after="0" w:line="27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unable to make acquisitions and investments, or successfully integrate them into our business, and we may be unable to divest businesses on acceptable terms or at all.</w:t>
      </w:r>
    </w:p>
    <w:p>
      <w:pPr>
        <w:spacing w:after="0" w:line="6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 part of our business strategy, we consider a wide array of potential strategic transactions, including acquisitions of businesses, new technologies, services and other assets, joint ventures and strategic investments that complement our business. We may be unable to identify or complete prospective transactions for many reasons, including increasing competition from other potential acquirers or investors, the effects of consolidation</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our industries or potentially high valuations of acquisition or investment candidates. Certain agreements to which we are subject from time to time may also contractually restrict our ability to make acquisitions and investments in some circumstances. In addition, applicable antitrust, national security (including with respect to the U.K. National Security and Investment Act or the Committee on Foreign Investment in the United States) or other laws or regulations may limit our ability to acquire, invest in or integrate targets, or may force us to divest an acquired business or impose restrictions on an investment. If we are unable to identify suitable targets or complete or successfully integrate acquisitions, our growth prospects may suffer, and we may not be able to realize sufficient scale and technological advantages to compete effectively in all markets. Acquisitions involve numerous risks, any of which could negatively affect our business, results of operations, financial condition and prospects, including with respect to timing or delays, diversion of financial and management resources from existing operations or alternative acquisition opportunities, subsequent litigation, retention of key employees or business partners, and theft of information disclosed during the transaction. If we fail to address the foregoing risks or other problems encountered in connection with past or future acquisitions of businesses, new technologies, services and other assets and strategic investments, or if we fail to successfully integrate such acquisitions or investments to realize anticipated benefits or synergies, our business, results of operations, financial condition and prospects could be adversely affected.</w:t>
      </w:r>
    </w:p>
    <w:p>
      <w:pPr>
        <w:spacing w:after="0" w:line="17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we have in the past divested and reduced, and may in the future divest or reduce, our investment in certain businesses or product lines from time to time. Such divestitures involve risks, such as the difficulty of identifying and separating out specific assets within a business, distracting employees, incurring potential loss of revenue and cash flow, negatively impacting margins, and potentially disrupting customer and employee relationships. We may also incur significant costs associated with exit or disposal activities, related impairment charges, or both.</w:t>
      </w:r>
    </w:p>
    <w:p>
      <w:pPr>
        <w:spacing w:after="0" w:line="26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There may be risks associated with organic growth or growth from strategic investments or acquisitions we make, and we may fail to effectively manage our growth.</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could experience rapid growth in our headcount and operations through acquisitions, strategic investments and organic growth. This growth can place significant demands on our management and our operational and financial infrastructure. Our ability to manage our growth effectively and to integrate new technologies, businesses and personnel into our existing business may require us to expand our operational and financial infrastructure and to address the retention, attraction, training, motivation and management of employees across a broader geographical and operational footprint. Such growth could strain our ability to develop and improve our operational, financial and management controls, enhance our reporting systems and procedures, recruit, train and retain highly skilled personnel, implement systems, policies, benefits and compliance programs across different jurisdictions, maintain our culture and maintain customer and brand satisfaction. Additionally, if we do not effectively manage the growth of our business and operations, the quality of our products and services could suffer, which could negatively affect our brand, operating results and overall business. The failure to effectively manage the growth of our strategic investments could also cause the value of such investments to decline. If we fail to achieve the necessary level of efficiency in our organization as it grows, our business, results of operations, financial condition and prospects could be materially and adversely affected.</w:t>
      </w:r>
    </w:p>
    <w:p>
      <w:pPr>
        <w:spacing w:after="0" w:line="29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financial statements include significant amounts of goodwill and other intangible assets. The impairment of a significant portion of these assets would adversely affect our reported results of operations and financial position.</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goodwill and other intangible assets recognized in our financial statements represented % and %, respectively, of our total assets as of March 31, 2023 (25.1% and 3.1%, respectively, as of March 31, 2022). Within other intangible assets, our principal assets are our patents and licenses ( % of total other intangible assets as of March 31, 2023) and software or software assets under construction ( % of total other intangible assets as of March 31, 2023). Any further acquisitions may result in our recognition of additional goodwill or other intangible assets. We evaluate on a regular basis whether all or a portion of our goodwill and other</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intangible assets may be impaired. Under current accounting rules, any determination that impairment has occurred would require us to record an impairment charge, which would negatively affect our results of operations.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recognized impairments for the fiscal year ended March 31, 2022 in relation to specific historically acquired or developed products that were no longer being licensed, and we have also recognized impairments in the past.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we capitalize and amortize the qualifying costs of internally developed software for its operating platforms and related back-office systems over the estimated useful lives of these intangible assets (generally between three and five years). If projects fail to deliver anticipated results in line with our estimates and assumptions, then we may be required to write-down the intangible asset costs, which could adversely affect our financial condition, results of operations and the trading price of our securities.</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 impairment or write-down of a significant portion of goodwill, other intangible assets or capitalized development costs could have a material adverse effect on our reported results of operations and our financial position.</w:t>
      </w:r>
    </w:p>
    <w:p>
      <w:pPr>
        <w:spacing w:after="0" w:line="2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financial and operational flexibility may be restricted by covenants contained in loan agreements we may enter into in the future, and we may be unable to comply with the restrictions and financial covenants imposed such agreements.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do not currently have any debt, but we may incur debt in the future. Future creditors may subject us to certain limitations on our business and future financing activities as well as certain financial and operational covenants. Such restrictions may prevent us from taking actions that otherwise might be deemed to be in the best interest of us and holders of ADSs. Debt service obligations may require us in the future to dedicate a substantial portion of our cash flows from operations to payments on principal and interest on our interest-bearing debt, which could limit our ability to obtain additional financing, make capital expenditures and acquisitions and carry out other general corporate activities in the future. Any such obligations may also limit our flexibility in planning for, or reacting to, changes in our business and the industry in which we operate or detract from our ability to successfully withstand a downturn in our business or the economy in general.</w:t>
      </w:r>
    </w:p>
    <w:p>
      <w:pPr>
        <w:spacing w:after="0" w:line="28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76"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Our success and ability to compete depend significantly on protecting our IP rights. We primarily rely on patent, copyright, trade secret and trademark laws, trade secret protection and contractual protections, such as confidentiality, invention assignment and license agreements with our employees, customers, third-party partners and others, to protect our IP rights. The steps we take to protect our IP rights may be inadequate. We also may not be able to obtain desired patents, and our pending (of which we currently have approximately 2,700) or future patent applications, whether or not being currently challenged, may not result in the issuance of patents with the scope of protection we seek, including in jurisdictions of strategic importance and, if issued, may not provide any meaningful protection or competitive advantage. The scope of our patent protections may be adversely affected by changes in legal precedent and patent office interpretation of these precedents. Further, patents directed to particular subject matter associated with our business (</w:t>
      </w:r>
      <w:r>
        <w:rPr>
          <w:rFonts w:ascii="Arial" w:cs="Arial" w:eastAsia="Arial" w:hAnsi="Arial"/>
          <w:sz w:val="17"/>
          <w:szCs w:val="17"/>
          <w:i w:val="1"/>
          <w:iCs w:val="1"/>
          <w:color w:val="auto"/>
        </w:rPr>
        <w:t>e.g.</w:t>
      </w:r>
      <w:r>
        <w:rPr>
          <w:rFonts w:ascii="Arial" w:cs="Arial" w:eastAsia="Arial" w:hAnsi="Arial"/>
          <w:sz w:val="17"/>
          <w:szCs w:val="17"/>
          <w:color w:val="auto"/>
        </w:rPr>
        <w:t>, CPU architecture) may be difficult to obtain and enforce in many jurisdictions and there may also be limits on recovery for damages in those jurisdictions. Any of our existing patents, and any future patents, may be challenged, narrowed, invalidated or circumvented. Further, we may be unsuccessful in executing adequate invention assignment agreements with all employees, contractors or other third parties involved in the development of our IP portfolio. In certain jurisdictions, rights to IP developed by our employees or contractors or other third parties may not automatically vest in us, and our</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9" w:right="5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employees or contractors or other third parties may claim ownership in IP that we believe is owned by us. We may also be required to spend significant resources to establish, monitor and protect our IP rights, particularly as we expand our operations globally.</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exposure to different legal jurisdictions also may impact our ability to exercise our contractual and other rights around IP in such jurisdictions, in particular in countries whose laws regarding the protection of IP are less rigorous or more difficult to enforce than in the U.K., the U.S. and the European Union. In jurisdictions where effective IP protection is unavailable or limited, our IP rights may be vulnerable to unauthorized disclosure, infringement, misappropriation or other violation by employees, third-party partners, suppliers, customers and other entities or individuals, even though our customers and partners are contractually restricted from using our IP outside of the agreed-upon licensing arrangements. Policing unauthorized use of our IP is difficult and expensive, and we may not be able, or may lack the resources, to prevent infringement, misappropriation or other violation of our IP rights, including increased difficulty as a foreign entity in certain international locations, particularly outside the U.K., the U.S. and the European Union. In addition, our ability to monitor and control theft, misappropriation or infringement is uncertain, particularly in countries outside of the U.K., the U.S. and the European Union, as the laws of some countries do not provide the same level of protection of our proprietary and confidential information as do the laws of the U.K., the U.S. and the European Union. Moreover, because we deliver our products to our customers in a source form, we have limited ability to trace the source of misappropriation of our IP and there are limited technological barriers (</w:t>
      </w:r>
      <w:r>
        <w:rPr>
          <w:rFonts w:ascii="Arial" w:cs="Arial" w:eastAsia="Arial" w:hAnsi="Arial"/>
          <w:sz w:val="16"/>
          <w:szCs w:val="16"/>
          <w:i w:val="1"/>
          <w:iCs w:val="1"/>
          <w:color w:val="auto"/>
        </w:rPr>
        <w:t>e.g.</w:t>
      </w:r>
      <w:r>
        <w:rPr>
          <w:rFonts w:ascii="Arial" w:cs="Arial" w:eastAsia="Arial" w:hAnsi="Arial"/>
          <w:sz w:val="16"/>
          <w:szCs w:val="16"/>
          <w:color w:val="auto"/>
        </w:rPr>
        <w:t>, remote authorization requirements) we can put in place to protect our products from use by unauthorized parties. Additionally, theft of our IP or proprietary business information (including our trade secrets) could require substantial expenditures and resources to remedy. If we, our employees or our third-party partners, consultants, contractors, vendors or service providers were to suffer an attack or breach, for example, that results in the unauthorized access to, or use, theft, disclosure, misappropriation or sale of, our IP by any unauthorized third parties, we may have to notify consumers, partners or governmental authorities, and may be subject to investigations, civil penalties, administrative and enforcement actions and litigation, any of which could be costly and distracting or otherwise harm our business and reputation.</w:t>
      </w:r>
    </w:p>
    <w:p>
      <w:pPr>
        <w:spacing w:after="0" w:line="3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may be unable to successfully obtain, maintain, protect and enforce our IP rights (including defending against counterfeit, knock-off, grey-market, infringing or otherwise unauthorized goods). Specifically, third parties may distribute, license and sell counterfeit or grey-market versions of our products, which may be inferior or pose safety risks and could confuse consumers or customers, which could cause them to refrain from purchasing our brands in the future or otherwise damage our reputation. The presence of counterfeit versions of our products and technology in the market could also dilute the value of our brands, force us and our customers to compete with heavily discounted products and technology, cause us to be in breach of contract (including license agreements), impact our compliance with distribution and competition laws in jurisdictions including the U.K., the U.S., the European Union and the PRC, or otherwise have a negative impact on our reputation and business, prospects, financial condition or results of operations. Further, we may not be able to detect all violations of our IP rights and even if we do become aware of any such violations, and we may not be able to adequately enforce our IP rights in certain domestic and foreign jurisdictions. If we are unable to successfully navigate the relevant legal and regulatory environment and/or enforce our IP rights and/or contractual rights in relevant jurisdictions, our business, results of operations, financial condition and prospects could be materially and adversely impacted.</w:t>
      </w:r>
    </w:p>
    <w:p>
      <w:pPr>
        <w:spacing w:after="0" w:line="18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Litigation may be necessary in the future to enforce our patents and other IP rights, to protect our trade secrets, to determine the validity and scope of the proprietary rights of others, or to defend against claims of infringement, misappropriation or invalidity. Any such litigation, whether or not determined in our favor or settled by us, could be costly and would divert the efforts and attention of our management and technical personnel from normal business operations, which could have a material adverse effect on our business, results of operations, financial condition and prospects. Furthermore, our efforts to enforce our IP rights may be met with defenses, counterclaims and countersuits attacking the validity and enforceability of our IP rights. In addition, counterparties in litigation may have greater resources that they can dedicate to litigation-related matters than we</w:t>
      </w:r>
    </w:p>
    <w:p>
      <w:pPr>
        <w:spacing w:after="0" w:line="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can. Moreover, litigation against current or former customers and partners may adversely impact existing relationships. Accordingly, we may not be able to prevent third parties from infringing, misappropriating or otherwise violating our IP rights. See also “—We may be sued by third parties for alleged infringement, misappropriation or other violation of their IP rights or proprietary rights and our defense against these claims can be costly.”</w:t>
      </w:r>
    </w:p>
    <w:p>
      <w:pPr>
        <w:spacing w:after="0" w:line="14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any potential dispute involving our patents or other IP, our licensees or the customers of our licensees could also become the target of litigation and we may be bound to indemnify such parties under the terms of our license agreements. Although our indemnification obligations are generally subject to a maximum amount, such obligations could nevertheless result in substantial expenses to us. See “Business—Legal Proceedings.” In addition to the time and expense required for us to indemnify our licensees or the customers of our licensees, such party’s development, marketing and sales of chips and end products utilizing our products could be severely disrupted or discontinued as a result of litigation, which, in turn, could have a material adverse effect on our business, results of operations, financial condition and prospects.</w:t>
      </w:r>
    </w:p>
    <w:p>
      <w:pPr>
        <w:spacing w:after="0" w:line="17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Moreover,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adverse determinations in litigation could result in the loss of our IP rights or proprietary rights, subject us to significant liabilities, require us to seek licenses from third parties or prevent us from licensing our products, any of which could have a material adverse effect on our business, results of operations, financial condition and prospects. Our failure to obtain, maintain, protect, defend and enforce our IP rights could have a material adverse effect on our brand or our business, results of operations, financial condition and prospects. Furthermore, because our products are often based on a common architecture and our new products are often based on legacy products, adverse events related to our IP may have a more significant impact on us than if our products were less related.</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IP rights or proprietary rights and our defense against these claims can be costly.</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have in the past been and may in the future be subject to claims by third parties alleging our infringement, misappropriation or other violation of third-party IP rights, including patent rights, or misuse of third-party confidential information.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Claims alleging infringement, misappropriation or other violation of third-party IP rights can result in costly and time-consuming litigation (regardless of their validity or merit), require us to enter into royalty or licensing arrangements, subject us to damages or injunctions restricting the sale of our products, result in the invalidation of a patent or family of patents, require us to refund license fees to our customers or to forgo future payments or require us to redesign or rebrand certain of our products, any one of which could have a material adverse effect on our business, results of operations, financial condition and prospects.</w:t>
      </w:r>
    </w:p>
    <w:p>
      <w:pPr>
        <w:spacing w:after="0" w:line="18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to the time and expense required for us to satisfy our support and indemnification obligations to our customers and partners, any litigation could severely disrupt or shut down the business of our customers and partners, which in turn could damage our relations with them and have a material adverse effect on our business, reputation,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involved in pending litigation.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From time to time, we are involved in various legal, administrative and regulatory proceedings, claims, demands and investigations relating to our business, which may include claims with respect to commercial,</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product liability, IP, cybersecurity, privacy, data protection, antitrust, breach of contract, labor and employment, whistleblower, mergers and acquisitions and other matters. We are involved in pending litigation, including, but not limited to, a lawsuit with Qualcomm Inc. and Qualcomm Technologies, Inc. (together “Qualcomm”) and Nuvia, Inc. (“Nuvia”). In addition, our products are involved in pending litigation to which we are not a party. We cannot provide you any assurances regarding how any such litigation will be resolved, what benefits we will obtain or what losses we might incur.</w:t>
      </w:r>
    </w:p>
    <w:p>
      <w:pPr>
        <w:spacing w:after="0" w:line="1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August 31, 2022, we sued Qualcomm and Nuvia in the U.S. District Court for the District of Delaware, on the basis that Qualcomm and Nuvia: (i)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and (ii) will infringe our trademarks when Qualcomm uses them in connection with the Nuvia technology subject to destruction under the Nuvia ALA. Our complaint seeks, among other things, specific performance of the Nuvia ALA termination provisions to require Qualcomm and Nuvia to stop using and to destroy the relevant Nuvia technology and to stop their improper use of our trademarks with their related products. We also seek declaratory judgment, injunctive relief and damages relating to Qualcomm’s and Nuvia’s breach of contract and infringement of our trademarks in connection with the relevant Nuvia technology. Qualcomm has responded and brought a counterclaim against us seeking a declaratory judgment that after Qualcomm’s acquisition of Nuvia, Qualcomm’s proposed products are fully licensed from us under its separate license agreements with us and that it has complied with its contractual obligations to us and Nuvia did not breach the Nuvia ALA. We and Qualcomm can amend our respective claims to seek additional or different relief as the proceedings progress. We can provide no assurances regarding the outcome of the litigation or how the litigation will affect our relationship with Qualcomm, which is currently a major customer of ours. This case is currently in the discovery phase, with trial set for September 2024, and will likely require significant legal expenditures going forward. It may also require substantial time and attention from our executives or employees, which could distract them from operating our business. In addition, our involvement in such litigation could cause us to incur significant reputational damage in the industry, in our relationship with Qualcomm or in our relationship with other third-party partners.</w:t>
      </w:r>
    </w:p>
    <w:p>
      <w:pPr>
        <w:spacing w:after="0" w:line="18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These matters can be time-consuming, divert management’s attention and resources, cause us to incur significant expenses and lead to attempts on the part of other parties to pursue similar claims. Allegations made in the course of regulatory or legal proceedings may also harm our reputation, regardless of whether there is merit to such claims. Furthermore, because litigation and the outcome of regulatory proceedings are inherently unpredictable, our business, results of operations, financial condition and prospects could be materially adversely affected by an unfavorable resolution of one or more of these proceedings, claims, demands or investigations.</w:t>
      </w:r>
    </w:p>
    <w:p>
      <w:pPr>
        <w:spacing w:after="0" w:line="29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products have in the past and could have a substantial technical flaw or an undetected design error, which could result in unanticipated costs. Our products are used in billions of consumer and enterprise products across a wide range of industries, and many of these products are depended on by individuals and businesses. The discovery of any design defect, fault or bug associated with our products, as well as any ensuing litigation or claims for indemnification could adversely affect our reputation and our relationships with partners, thereby having a material adverse effect on our business, results of operations, financial condition and prospects. Any such defects, faults or bugs could cause us to lose customers, increase our service costs, subject us to liability for damages or divert our resources from other tasks, any one of which could materially and adversely affect our business, results of operations, financial condition and prospects. The ramifications of a design defect, fault, or bug may be further exacerbated by the fact that much of our products are based on a common architecture and our new architecture products often are based on legacy products. Accordingly, a design defect, fault, or bug may affect multiple end products that are based on the same products, thereby potentially exposing us to additional liability and requiring additional resources to remedy the error.</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our software could contain errors, defects or bugs, especially when first introduced or when new versions are released. Product errors, including those resulting from third-party suppliers and open-source vendors, could affect the performance or interoperability of our products, could delay the development or release of new products or new versions of products and could adversely affect market acceptance or perception of the quality and attractiveness of our products. Any such errors or delays in releasing new products or new versions of products, or allegations of unsatisfactory performance, could cause us to lose customers, increase our service costs, subject us to liability for damages or divert our resources from other tasks, any one of which could materially and adversely affect our business, results of operations, financial condition and prospects.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Security vulnerabilities may be identified in our products, and it is possible that vulnerabilities may not be mitigated before they become known. Publicity related to any such security vulnerabilities, whether accurate or inaccurate, and any attempted or successful exploitation of such vulnerabilities, may cause increased third-party attempts to identify additional security vulnerabilities or could result in litigation, indemnification or other regulatory actions or inquiries, which could harm our brand and have an adverse effect on our business and results of operations and financial performance.</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Additionally, our products are used, and may be used in the future, in a variety of safety critical systems and equipment, including, but not limited to, autonomous vehicles, robotics, drones and medical equipment. Faults, security vulnerabilities or errors in such systems can result in harm to individuals, including loss of life. Any such fault, security vulnerability, or errors that may be attributed to our products, regardless of merit, could result in litigation, indemnification obligations or regulatory actions or inquiries, which could harm our brand and have a material adverse effect on our business, results of operations and financial performance.</w:t>
      </w:r>
    </w:p>
    <w:p>
      <w:pPr>
        <w:spacing w:after="0" w:line="296"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b w:val="1"/>
          <w:bCs w:val="1"/>
          <w:i w:val="1"/>
          <w:iCs w:val="1"/>
          <w:color w:val="auto"/>
        </w:rPr>
        <w:t>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p>
    <w:p>
      <w:pPr>
        <w:spacing w:after="0" w:line="5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collect, store and otherwise process certain personal, confidential and proprietary information in the operation of our business, including trade secrets, employee data and other sensitive data. Further, our third-party partners and customers regularly provide us with highly sensitive information, including details about their future product plans and roadmaps. Any unauthorized access to or disclosure of this information, whether inadvertent, malicious or as the result of a cyberattack, security breach or other similar incident, could have a material adverse effect on our third-party partners and customers, which may in turn result in significant damage to our reputation, business and operating results.</w:t>
      </w:r>
    </w:p>
    <w:p>
      <w:pPr>
        <w:spacing w:after="0" w:line="176"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Cyberattacks, including, but not limited to, ransomware events, computer viruses or other malware, phishing attacks, denial of service attacks, illegal hacking and credential stuffing, or other malicious attempts to compromise and/or interrupt the operation of information technology systems continue to increase in frequency, magnitude and sophistication. These increasing threats are being driven by a variety of sources, including nation-state sponsored espionage and hacking activities, industrial espionage, organized crime, sophisticated organizations and hacking by groups and individuals. These sources can also implement social engineering techniques to induce our third-party partners, users, employees or customers to disclose passwords or other sensitive information or take other actions to gain access to our or our third-party partners’ data or our users’ data. Techniques used to obtain unauthorized access to, or to sabotage, systems or networks are constantly evolving and may not be recognized until launched against a target. Therefore, we may be unable to anticipate these techniques, react in a timely manner, or implement adequate preventive measures, and we may face delays in our detection or remediation of, or other responses to, such cyberattacks, security breaches and other similar incidents. Geopolitical instability, such as the war between Russia and Ukraine, may increase the likelihood that we or our third-party partners and customers could experience direct or collateral consequences from cyber conflicts between nation-states or other politically motivated actors targeting critical technology infrastructure. As we increase our customer base and our brand becomes more widely known and recognized, and as our</w:t>
      </w:r>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products are used in more heavily regulated industries where there may be a greater concentration of sensitive and protected data, such as healthcare, government, life sciences and financial services, we and our third-party partners may become more of a target for these malicious third parties.</w:t>
      </w:r>
    </w:p>
    <w:p>
      <w:pPr>
        <w:spacing w:after="0" w:line="1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Cyberattacks, security breaches or other similar incidents with respect to our information technology systems or those of our third-party partners could result in unauthorized access to, or misappropriation, disclosure, modification, misuse, loss, destruction or theft of, personal, confidential and proprietary information belonging to us or our employees, third-party partners, customers or suppliers, or cause a significant disruptive effect on our services, which could result in us, our third-party partners or our customers suffering significant financial or reputational damage and potential third-party legal action. If our security measures are, or are believed to be, inadequate or breached as a result of third-party action, employee negligence, error or malfeasance, fraud, product defects, accidental technological failure, social engineering techniques, improper user configuration or otherwise, and this results in, or is believed to result in, actual disruption of the confidentiality, integrity or availability of our data or our third-party partners’ and customers’ data, or otherwise causes a significant disruptive effect on our services, we could incur significant liability to various parties, including our third-party partners and customers, and to individuals or organizations whose information is being stored by us, our third-party partners or our customers. Further, such information and data being stored in foreign jurisdictions, could lead to us being required to disclose or provide access to data or IP to a foreign government pursuant to national security or other laws of such foreign jurisdiction. Any perceived or actual violation of security, data protection and/or reporting obligations under relevant privacy and data protection laws, regulations, rules, standards and other obligations could also result in regulatory inquiries, investigations and enforcement actions, fines and/or legal action. We incur significant costs in an effort to detect and prevent cyberattacks, security breaches and other similar incidents, and we may face increased costs and be required to expend substantial resources in the event of an actual or perceived cyberattack, security breach or other similar incident.</w:t>
      </w:r>
    </w:p>
    <w:p>
      <w:pPr>
        <w:spacing w:after="0" w:line="16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Additionally, our vendors or service providers may suffer, or be perceived to suffer, cyberattacks, security breaches or other similar incidents that may compromise data stored or processed for us, which may also give rise to any of the foregoing. Our ability to monitor our vendors and service providers’ data security is limited, and, in any event, third parties may be able to circumvent those security measures, resulting in the unauthorized access to, or misuse, disclosure, loss, acquisition, modification, unavailability, destruction or other processing of, our and our customers’ data. If our vendors or service providers suffer cyberattacks, security breaches or other incidents, we may be unable to perform essential functions to operate our business. Moreover, to the extent any of our IP is compromised as a result of a security breach and we are not promptly made aware of such breach, we may incorporate compromised IP in our products, thereby making our products vulnerable to future cyberattacks, security breaches or other similar incidents.</w:t>
      </w:r>
    </w:p>
    <w:p>
      <w:pPr>
        <w:spacing w:after="0" w:line="192"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We cannot ensure that any limitations of liability in our agreements with customers, third-party partners, service providers and other third parties with which we do business would be enforceable or adequate or would otherwise protect us from any liabilities or damages with respect to any particular claim in connection with a cyberattack, security breach or other similar incident. Additionally, we cannot be certain that our insurance coverage will be adequate for cybersecurity liabilities actually incurred, that insurance will continue to be available to us on economically reasonable terms, or at all, or that our insurer will not deny coverage as to any future claim. Any of the foregoing may cause our business to suffer and our reputation or competitive position to be damaged, which may have a material adverse effect on our business, results of operations, financial condition and prospects.</w:t>
      </w:r>
    </w:p>
    <w:p>
      <w:pPr>
        <w:spacing w:after="0" w:line="303"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b w:val="1"/>
          <w:bCs w:val="1"/>
          <w:i w:val="1"/>
          <w:iCs w:val="1"/>
          <w:color w:val="auto"/>
        </w:rPr>
        <w:t>Any failure, interruption, disruption, damage or outage with respect to our information technology systems, including or due to an inability to operate our disaster recovery plans to adequately mitigate the effects of such, could adversely affect our reputation, operations and financial condition.</w:t>
      </w:r>
    </w:p>
    <w:p>
      <w:pPr>
        <w:spacing w:after="0" w:line="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business depends on the efficient and uninterrupted operation of our computer and communications software and hardware systems and other information technology. If such information technology systems were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to fail for any reason or if we were to experience any unscheduled downtimes, even for only a short period, our reputation, operations and financial results could be adversely affected. Our information technology systems could be damaged or interrupted by earthquakes, fire, floods, hurricanes, power loss, telecommunications failure, break-ins, acts of vandalism or similar events. In addition, our information technology systems could be damaged or interrupted as a result of potential cyberattacks, such as ransomware events, malware, phishing attacks, insider threats, viruses, or any other malicious attempts to compromise and/or interrupt the operation of our information technology systems, or security breaches and other similar incidents.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w:t>
      </w:r>
    </w:p>
    <w:p>
      <w:pPr>
        <w:spacing w:after="0" w:line="192"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The formal disaster recovery plans we have in place may not be successful in preventing delays or other complications that could arise from information technology systems failure and, if they are not successful, our business interruption insurance may not adequately compensate us for all losses that may occur and have a material adverse effect on business, results of operations, financial condition and prospects.</w:t>
      </w:r>
    </w:p>
    <w:p>
      <w:pPr>
        <w:spacing w:after="0" w:line="25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Claims may be made for which we do not have adequate insurance, which could have a material adverse effect on our results of operations, cash flows and financial condition.</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recent years, the insurance industry has faced unprecedented and escalating global events compounded by international economic uncertainty. As a result of these and other pressures, many insurers have withdrawn from certain market sectors and certain available insurance has become costly to procure, renew or maintain. We currently have global insurance policies, including coverage for the following significant risks (all of which are subject to certain important scope limitations, exceptions and company/deductible arrangements): property damage, business interruption, employee liability, public and products liability, directors’ and officers’ liability, and cybersecurity and technology-related losses. We do not insure against claims concerning patent litigation or other IP infringement claims and potential related indemnification obligations, because we are of the view that any limited coverage that could be obtained would be prohibitively expensive. Our business, results of operations, financial condition and prospects could be materially adversely affected by the occurrence of a catastrophic event, to the extent that any resulting loss or claim was not covered under the terms of our then existing insurance policies.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Foreign exchange fluctuations could have a material adverse effect on our business, results of operations, financial condition and prospects.</w:t>
      </w:r>
    </w:p>
    <w:p>
      <w:pPr>
        <w:spacing w:after="0" w:line="140"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Although a substantial majority of our revenues, as well as a significant proportion of our assets and liabilities, are denominated in U.S. dollars, certain of our costs are denominated in British pounds sterling and a number of other currencies, such as the euro and Indian rupee. Consequently, our results of operations have been, and are likely to continue to be, affected by changes in the relative value of the various currencies in which our revenues, costs, assets and liabilities are denominated, and especially the U.S. dollar to British pound sterling exchange rate, as well as the exchange rates to the Euro and Indian Rupee may have a material impact on our reported results of operations and financial condition. To manage our exposure, we may engage in the use of financial derivatives or currency hedging transactions, although such activities may not cover all of our exposure, may be costly and may also expose us to counterparty risk. Despite hedging and other mitigating techniques implemented by us, fluctuations in exchange rates have in the past and may in the future have a material adverse effect on our business,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could suffer significant damage to our brand and reputation, which could harm our competitive position, results of operations and prospects.</w:t>
      </w:r>
    </w:p>
    <w:p>
      <w:pPr>
        <w:spacing w:after="0" w:line="15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brand and reputation are critical factors in our relationships with customers, employees, governments, suppliers, and other stakeholders. Our failure to address, or the appearance of our failure to address, issues that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give rise to reputational risk, including those described throughout this Risk Factors section, could significantly harm our brand and reputation. Our reputation can be impacted by catastrophic events, incidents involving unethical behavior or misconduct, product quality, security, or safety issues, allegations of legal noncompliance, internal control failures, corporate governance issues, data breaches, workplace safety incidents, environmental issues, the use of our products for illegal or objectionable applications, including AI and ML or military applications that present ethical, regulatory, or other issues, marketing practices, media statements, the conduct of our suppliers or representatives, and other issues, incidents, or statements that, whether actual or perceived, result in adverse publicity. To the extent we fail to respond quickly and effectively to address corporate crises and other threats to our brand and reputation, the ensuing negative public reaction could significantly harm our brand and reputation, which could result in loss of trust from our customers, third-party partners and employees and could lead to an increase in litigation claims and asserted damages or subject us to regulatory actions or restrictions.</w:t>
      </w:r>
    </w:p>
    <w:p>
      <w:pPr>
        <w:spacing w:after="0" w:line="181"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In addition, our brand and reputation may be damaged by the actions of third parties that are imputed to us. For example, although Arm China operates independently of us, Arm China uses our trademarks in its marketing and branding. To the extent that Arm China’s actions are imputed to us due to Arm China’s use of our trademarks, our own brand and reputation may suffer significant damage.</w:t>
      </w:r>
    </w:p>
    <w:p>
      <w:pPr>
        <w:spacing w:after="0" w:line="16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Damage to our brand and reputation could reduce demand for our products and adversely affect our business, operating environment and the trading price of our securities. Damage to our reputation may also make us less attractive to current and prospective employees relative to our competitors, particularly given the intensely competitive market for highly skilled employees. Moreover, repairing our brand and reputation may be difficult, time-consuming, and expensive. The heightened competitive pressures could result in a loss of customers or a reduction in revenues or revenue growth rates, all of which could adversely affect our business, results of operations, financial condition and prospects.</w:t>
      </w:r>
    </w:p>
    <w:p>
      <w:pPr>
        <w:spacing w:after="0" w:line="284"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Increasing scrutiny and evolving expectations from customers, partners, regulators, investors, and other stakeholders with respect to our environmental, social and governance (“ESG”) practices may impose additional costs on us, expose us to new or additional risks, or harm our reputation.</w:t>
      </w:r>
    </w:p>
    <w:p>
      <w:pPr>
        <w:spacing w:after="0" w:line="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Companies are facing increasing scrutiny from customers, partners, regulators, investors, and other stakeholders related to ESG practices and disclosure, including environmental stewardship, social responsibility, diversity and inclusion, racial justice and workplace conduct. 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negative investor sentiment toward us, which could have a negative impact on the trading price of our securities and our access to and costs of capital. Increased ESG 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the trading price of our securities. New government regulations could also result in new or more stringent forms of ESG oversight and expanding mandatory and voluntary reporting, diligence, and disclosure.</w:t>
      </w:r>
    </w:p>
    <w:p>
      <w:pPr>
        <w:spacing w:after="0" w:line="18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have established corporate social responsibility programs aligned with sound ESG principles. These programs reflect our current initiatives and are not guarantees that we will be able to achieve them. Our ability to successfully execute these initiatives and accurately report our progress presents numerous operational, financial, legal, reputational and other risks, many of which are outside our control, and all of which could have a material negative impact on our business. Additionally, the implementation of these initiatives imposes additional costs on us. If our ESG initiatives fail to satisfy investors, customers, partners and our other stakeholders, our reputation, our ability to license our products to customers, our ability to attract or retain employees, and our attractiveness as an investment, business partner or acquirer could be negatively impacted. Similarly, our failure or perceived failure to pursue or fulfil our goals, targets and objectives or to satisfy various reporting standards within the</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timelines we announce, or at all, could also have similar negative impacts and expose us to government enforcement actions and private litigation. See “Business—Environmental, Social and Governance” for additional information regarding our corporate social responsibility programs.</w:t>
      </w:r>
    </w:p>
    <w:p>
      <w:pPr>
        <w:spacing w:after="0" w:line="232"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4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will be required to comply with the management certification requirements of Section 404 of the Sarbanes-Oxley Act of 2002 (the “Sarbanes-Oxley Act”) in our annual report on Form 20-F for our first annual report that is filed with the SEC (subject to any change in applicable SEC rules). We will be required to comply with Section 404 in full (including an auditor attestation on management’s internal controls report) in our annual report on Form 20-F for the year following our first annual report required to be filed with the SEC (subject to any change in applicable SEC rules). As a public company, we will be required to report, among other things, control deficiencies that constitute a “material weakness” or changes in internal controls that, or that are reasonably likely to, materially affect internal controls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material weakness identified for the fiscal years ended March 31, 2022 and 2021 relates to information technology general controls over information systems that are necessary for preparation of our financial statements, specifically (i) insufficient controls over user access rights and segregation of duties within our information systems, (ii) insufficient controls over change management of our information systems and (iii) insufficient controls over monitoring of batch processes. To address the material weakness, in fiscal 2023, we developed and began a remediation plan that includes the following activities: (i) improving controls over access rights management, including reviews of current access rights, user roles and access management procedures, (ii) the removal of excessive access rights to ensure that we adequately restrict user access to our financial applications to appropriate company personnel, (iii) expanding change management control procedures for our information systems, and (iv) engaging external experts to support the evaluation, testing and enhancement of our internal controls relating to our information technology systems. We will not be able to fully remediate this material weakness until these steps have been completed and have been operating effectively for a sufficient period of time. The actions that we are taking are subject to ongoing review by our executive management and will be subject to the oversight of the Audit Committee. Although we intend to complete this remediation process as quickly as practicable, we provide no assurances with respect to the timeline for implementing effective remedial measures, and our initiatives may not prove to be successful in remediating the material weakness or preventing additional material weaknesses or significant deficiencies in our internal control over financial reporting in the future.</w:t>
      </w:r>
    </w:p>
    <w:p>
      <w:pPr>
        <w:spacing w:after="0" w:line="17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To comply with the requirements of being a public company, we have undertaken various actions, and may need to take additional actions, such as implementing and enhancing our internal controls and procedures and hiring additional accounting or internal audit staff.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if we are required to make restatements of our financial statements, or if our independent registered public accounting firm is unable to express an opinion as to the effectiveness of our internal control over</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200"/>
        <w:spacing w:after="0" w:line="342" w:lineRule="auto"/>
        <w:rPr>
          <w:sz w:val="20"/>
          <w:szCs w:val="20"/>
          <w:color w:val="auto"/>
        </w:rPr>
      </w:pPr>
      <w:r>
        <w:rPr>
          <w:rFonts w:ascii="Arial" w:cs="Arial" w:eastAsia="Arial" w:hAnsi="Arial"/>
          <w:sz w:val="16"/>
          <w:szCs w:val="16"/>
          <w:color w:val="auto"/>
        </w:rPr>
        <w:t>financial reporting, investors may lose confidence in our operating results, the price of our ADSs could decline and we may be subject to litigation or regulatory enforcement actions. In addition, if we are unable to meet the requirements of Section 404, we may not be able to remain listed on Nasdaq.</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Government Regulation and Legal Compliance</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in international jurisdictions and we may be negatively impacted by export restrictions and trade barriers.</w:t>
      </w:r>
    </w:p>
    <w:p>
      <w:pPr>
        <w:spacing w:after="0" w:line="62"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Our headquarters are in the U.K., and we currently also have operations in various jurisdictions around the world, including the U.S., the PRC, India, Canada, South Africa and Europe. We may in the future expand our operations either within these jurisdictions or to new jurisdictions. Risks associated with these international operations include exposure to political, economic and financial conditions and unexpected changes in legal and regulatory environments. We may, from time to time, enter into strategic partnerships, joint ventures or similar business relationships with entities in foreign jurisdictions, including governmental or quasi-governmental entities, pursuant to which we may be required to license or transfer certain of our IP rights to such entities. Such relationships could expose us to increased risks inherent in such activities, such as protection of our IP, economic and political risks, and contractual enforcement issues. In addition, we could face potentially adverse tax consequences from our international expansion, changes in our international operations or changes in tax laws in any of the multiple jurisdictions in which we operate. Managing operations in multiple jurisdictions also places further strain on management’s time and our ability to manage overall growth. These risks could have a material adverse effect on our business, results of operations, financial condition and prospects.</w:t>
      </w:r>
    </w:p>
    <w:p>
      <w:pPr>
        <w:spacing w:after="0" w:line="16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We are subject to governmental export and import requirements that could subject us to liability or restrict our ability to license our products. If the U.S. Department of Commerce were to broaden U.S. export restrictions on foreign-origin items, whether through changes to the level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U.S.-origin content that would make a non-U.S.-made product subject to the U.S. Export Administration Regulations (“EAR”), known as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rule, or through changes to the foreign direct product rules under the EAR, these expanded restrictions would subject more of our products to U.S. export controls and impose export restrictions on the licensing and delivery of impacted items to certain customers and trading partners. Furthermore, if the U.S. Government implemented expanded economic sanctions on specific countries or regions, that could impact our portfolio. For instance, the U.S. has published significant changes to export sanctions regulations with respect to Russia and the PRC, and we anticipate additional changes to such regulations in the future. In October 2022, the U.S. Government implemented export controls on advanced computing chips, computer commodities that contain such chips, and certain semiconductor manufacturing items, as well as controls on transactions involving items for supercomputer and semiconductor manufacturing end-uses. The new controls expand the scope of items subject to license requirements for certain entities on the U.S. Government’s Entity List (as defined below). As a result, our freedom to license our products to designated countries or entities could be reduced, and our commercial relationships could be further harmed by limiting the ability of certain of our customers and partners from freely shipping chips and end products incorporating certain of our products. For instance, given U.S. and U.K. trade and national security policies regarding exports of technology with potential military uses, it is unlikely that we would be able to obtain a U.S. or U.K. export license for certain high performance compute cores in the Neoverse series processor family. This and any similar limitations could also reduce our revenues and cause significant uncertainty in our products roadmap, which could have an adverse effect on our business, results of operations, financial condition and prospects.</w:t>
      </w:r>
    </w:p>
    <w:p>
      <w:pPr>
        <w:spacing w:after="0" w:line="17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addition, if other countries, particularly the U.K., were to adopt export control rules similar to the U.S., or make existing rules more onerous, this could have a material adverse effect on our business, results of operations, financial condition and prospects.</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addition, trade relations between countries where we do business or where our customers have end customers has recently been volatile. For example, the U.S. Government has imposed export sanctions on certain</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trading partners and entities which impact the cross-border transfer of technology and software products and announced new licensing requirements which impact exports of some of our customer’s ICs and certain related items. These measures may increase costs and/or reduce distribution in key markets. This in turn could require us to increase prices to our customers which may reduce demand, or, if we are unable to increase prices to adequately address any restrictions, it could result in lower margins on products sold or fewer products sold, which would reduce royalties. Changes in U.S. trade policy have resulted in, and could result in more, U.S. trading partners adopting responsive trade policies, including imposition of increased tariffs, quotas or duties, or imposition of technology or financial sanctions or controls, making it more difficult or costly for us to export our products to those countries. The implementation of a border tax, tariff or higher customs duties on products of our customers or their end customers manufactured outside of the U.S. or components that our customers or their end customers import into the U.S., or any potential corresponding actions by other countries in which our customers or their end customers do business, could negatively impact our financial performance and/or ability to protect our IP. Such developments could also result in a decrease in the demand for or injunctions on the products of our customers or their end customers, which would reduce our royalties and have an adverse effect on our revenues and profitability and thereby on or business, results of operations, financial condition and prospects. See “—Risks Relating to Our Business and Industry—Our concentration of revenue from the PRC market makes us particularly susceptible to economic and political risks affecting the PRC, which could be exacerbated by tensions between the U.S. and the PRC with respect to trade and national security.”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comply with governmental laws and regulations could harm our business.</w:t>
      </w:r>
    </w:p>
    <w:p>
      <w:pPr>
        <w:spacing w:after="0" w:line="117"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Our business is subject to regulation by various governmental agencies, including, but not limited to, such agencies in the U.K., the European Union, the U.S. and the PRC. These laws and regulations affect our activities in areas including, but not limited to, labor, telecommunications,</w:t>
      </w:r>
    </w:p>
    <w:p>
      <w:pPr>
        <w:ind w:left="120" w:right="140"/>
        <w:spacing w:after="0" w:line="288" w:lineRule="auto"/>
        <w:rPr>
          <w:sz w:val="20"/>
          <w:szCs w:val="20"/>
          <w:color w:val="auto"/>
        </w:rPr>
      </w:pPr>
      <w:r>
        <w:rPr>
          <w:rFonts w:ascii="Arial" w:cs="Arial" w:eastAsia="Arial" w:hAnsi="Arial"/>
          <w:sz w:val="16"/>
          <w:szCs w:val="16"/>
          <w:color w:val="auto"/>
        </w:rPr>
        <w:t>IP ownership and infringement, tax, economic sanctions, import and export requirements and controls, anti-corruption, national security and foreign investment, foreign exchange controls and cash repatriation restrictions, privacy and data protection (such as the European Union General Data Protection Regulation (“GDPR”), the U.K. General Data Protection Regulation (“U.K. GDPR”), and the California Consumer Privacy Act as amended by the California Privacy Rights Act (collectively, “CCPA”)), security and cybersecurity, and anti-competition, environmental, health and safety, financial reporting and the certification requirements associated with public sector contracts. These laws, regulations and orders are complex, may change frequently and with limited notice, and many have become more stringent and have intensified over time, especially in light of continuing tensions between the U.S. and the PRC and sanctions on Russia and individual Russians as a result of the ongoing war in Ukraine.</w:t>
      </w:r>
    </w:p>
    <w:p>
      <w:pPr>
        <w:spacing w:after="0" w:line="16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Compliance with these laws, regulations and similar requirements may be onerous, expensive and time consuming. Laws and regulations are often inconsistent from jurisdiction to jurisdiction, further increasing the cost and complexity of compliance. We have implemented policies and procedures designed to ensure compliance with applicable laws and regulations, but there can be no assurance that our employees, contractors, or agents will not violate such laws and regulations or our policies and procedures. In addition, inadequate systems and processes have in the past and could in the future result in non-compliance with applicable laws and regulations (and this can be particularly challenging in complex areas such as licensing and export controls). We may be required to incur significant expense to remedy violations of these laws and regulations.</w:t>
      </w:r>
    </w:p>
    <w:p>
      <w:pPr>
        <w:spacing w:after="0" w:line="17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addition, if our customers fail to comply with these regulations, we may be required to suspend sales to these customers, which could damage our reputation and negatively impact our results of operations. For example, the Bureau of Industry and Security (“BIS”), of the U.S. Department of Commerce, maintains and frequently updates the “Entity List,” which limits our ability to deliver products and services to these entities, some of which are our customers. On May 16, 2019, the BIS added Huawei Technologies Co., Ltd. and certain of its affiliated entities to BIS’s Entity List, which imposes limitations on the supply of certain U.S. items and product support to Huawei and certain of its affiliated entities. Huawei remains on the Entity List, and in the absence of a license from BIS, we may be unable to work with Huawei and certain of its affiliated entities on certain U.S. items and technology, which may have a negative effect on our ability to sell those U.S. items and</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technology in the future. Anticipated or actual changes in trade restrictions could also affect customer purchasing behaviors.</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Non-compliance with applicable laws, regulations or requirements could subject us to investigations, sanctions, enforcement actions, disgorgement of profits, fines, damages, civil and criminal penalties, or injunctions. If any governmental sanctions are imposed, or if we do not prevail in any possible civil or criminal litigation, our business, results of operations, financial condition and prospects could be materially adversely affected and our reputation and brand could be damaged. In addition, responding to any action will likely result in a significant diversion of management’s attention and resources and an increase in professional fees.</w:t>
      </w:r>
    </w:p>
    <w:p>
      <w:pPr>
        <w:spacing w:after="0" w:line="296" w:lineRule="exact"/>
        <w:rPr>
          <w:sz w:val="20"/>
          <w:szCs w:val="20"/>
          <w:color w:val="auto"/>
        </w:rPr>
      </w:pPr>
    </w:p>
    <w:p>
      <w:pPr>
        <w:ind w:left="120" w:right="520"/>
        <w:spacing w:after="0" w:line="375" w:lineRule="auto"/>
        <w:rPr>
          <w:sz w:val="20"/>
          <w:szCs w:val="20"/>
          <w:color w:val="auto"/>
        </w:rPr>
      </w:pPr>
      <w:r>
        <w:rPr>
          <w:rFonts w:ascii="Arial" w:cs="Arial" w:eastAsia="Arial" w:hAnsi="Arial"/>
          <w:sz w:val="15"/>
          <w:szCs w:val="15"/>
          <w:b w:val="1"/>
          <w:bCs w:val="1"/>
          <w:i w:val="1"/>
          <w:iCs w:val="1"/>
          <w:color w:val="auto"/>
        </w:rPr>
        <w:t>Actual or perceived failures to satisfy data protection, security, privacy or other laws, regulations, rules, standards and other government- and industry-specific obligations could adversely affect our business, results of operations, financial condition and reputation.</w:t>
      </w:r>
    </w:p>
    <w:p>
      <w:pPr>
        <w:spacing w:after="0" w:line="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Privacy and data protection has become a significant issue in the U.K., the U.S., the European Union and in many other jurisdictions where we operate and where the chips and end products incorporating our products are offered. The regulatory framework for privacy and data protection issues worldwide is rapidly evolving and is likely to remain uncertain for the foreseeable future, which could expose us to further regulatory burdens. Many government bodies and agencies, including in the U.K., the European Union and the U.S., have adopted or are considering adopting or modifying laws and regulations addressing privacy and data protection, including the collection, storage, transfer, use and other processing of personal information. In some cases, privacy and data protection laws, regulations and rules impose obligations directly on us as both a data controller and a data processor (or the equivalents thereof), as well as on many of our customers. Certain jurisdictions have also enacted data localization laws mandating that certain types of data collected in a particular country be stored and/or processed primarily within that country. Laws, regulations and rules relating to privacy and data protection continue to evolve in various jurisdictions, with existing laws, regulations and rules subject to new and differing interpretations and new laws, regulations and rules being proposed and adopted. It is possible that our practices may be deemed not to comply with those privacy and data protection legal requirements that apply to us now or in the future.</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European Union and in the U.K., we are subject to the GDPR and the U.K. GDPR, respectively, which impose stringent obligations regarding the collection, control, use, sharing, disclosure and other processing of personal data. Failure to comply with the GDPR or the U.K. GDPR can result in significant fines and other liability, including fines of up to €20 million (or £17.5 million under the U.K. GDPR) or four percent (4%) of annual global revenue, whichever is greater. European data protection authorities have already imposed fines for GDPR violations up to, in some cases, hundreds of millions of Euros. While the U.K. GDPR currently imposes substantially the same obligations as the GDPR, the U.K. GDPR will not automatically incorporate changes to the GDPR going forward (which would need to be specifically incorporated by the U.K. government), which creates a risk of divergent parallel regimes and related uncertainty. For example, in 2021, the European Commission announced an adequacy decision concluding that the U.K. ensures an equivalent level of data protection to the GDPR, which provides some relief regarding the legality of continued personal data flows from the European Economic Area (“EEA”) to the U.K. This adequacy determination will automatically expire in June 2025 unless the European Commission renews or extends it and may be modified or revoked in the interim. We cannot predict how the U.K. GDPR and other U.K. privacy and data protection laws, regulations or rules may develop, including as compared to the GDPR, nor can we predict the effects of divergent laws and related guidance. Moreover, the U.K. government has publicly announced plans to reform the U.K. GDPR in ways that, if formalized, are likely to create a risk of divergent parallel regimes and related uncertainty, along with the potential for increased compliance costs and risks for affected business.</w:t>
      </w:r>
    </w:p>
    <w:p>
      <w:pPr>
        <w:spacing w:after="0" w:line="17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addition, ongoing legal challenges in Europe to the mechanisms allowing companies to transfer personal information from the EEA to outside the EEA (including the U.S.) could result in further limitations on the ability to transfer data across borders, particularly if governments are unable or unwilling to reach new</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agreements that support cross-border data transfers. While the European Commission announced in March 2022 that an agreement in principle had been reached between European Union and U.S. authorities regarding a new transatlantic data privacy framework, no formal agreement has been finalized, and any such agreement, if formalized, is likely to face challenge at the Court of Justice of the European Union.</w:t>
      </w:r>
    </w:p>
    <w:p>
      <w:pPr>
        <w:spacing w:after="0" w:line="16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Further, our business may be affected by laws, regulations, rules and standards aimed at regulating the use of personal information for marketing purposes, the tracking of the online activities of individuals and the regulation of machine-to-machine communications. For example, the European Union’s proposed ePrivacy Regulation, which is still being negotiated, may impose burdensome requirements around obtaining consent and impose fines for violations that are materially higher than those imposed under the European Union’s current ePrivacy Directive and related EU member state legislation. Compliance with these laws, regulations, rules and standards may limit the effectiveness of our marketing activities and subject us to liabilities.</w:t>
      </w:r>
    </w:p>
    <w:p>
      <w:pPr>
        <w:spacing w:after="0" w:line="19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the U.S., we are subject to various federal, state and local privacy and data protection laws, rules, and regulations governing the collection, sharing, use, retention, disclosure, security, transfer, storage and other processing of personal information. For example, at the state level, we are subject to the CCPA, which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Numerous other states also have enacted, or are in the process of enacting or considering, comprehensive state-level privacy and data protection laws, rules and regulations that share similarities with the CCPA, with at least four such laws (in Virginia, Colorado, Connecticut and Utah) having taken effect, or scheduled to take effect, in 2023. Additionally, laws in all 50 U.S. states require businesses to provide notice to residents whose personal information has been disclosed as a result of a data breach. Moreover, there is discussion in Congress of a new comprehensive federal privacy and data protection law to which we would become subject if it is enacted.</w:t>
      </w:r>
    </w:p>
    <w:p>
      <w:pPr>
        <w:spacing w:after="0" w:line="16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Moreover, we make public statements about our collection, use, disclosure and other processing of personal information through our privacy policies and information on our website. Although we endeavor to comply with our public statements and documentation, we may at times fail to do so or be alleged to have failed to do so. The publication of our privacy policies and other statements that provide promises and assurances about privacy and data protection can subject us to potential government or legal action if they are found to be deceptive, unfair or misrepresentative of our actual practices. Any concerns about our privacy and data protection practices, even if unfounded, could damage our reputation and adversely affect our business.</w:t>
      </w:r>
    </w:p>
    <w:p>
      <w:pPr>
        <w:spacing w:after="0" w:line="192"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Although we monitor the regulatory environment and have invested in addressing new developments, we may be required to make additional changes to our services and business practices to enable us and our customers to comply with applicable laws, regulations, rules, standards and other obligations. Evolving regulatory and legal obligations may also increase our potential liability exposure through higher potential penalties for non-compliance. Laws, regulations, rules, standards and other obligations relating to privacy and data protection are subject to differing interpretations and may be inconsistent among jurisdictions, thereby making compliance with such obligations challenging. Revising our services and business practices to comply with these requirements could reduce demand for our services, require us to take on more onerous obligations in our contracts, or restrict our ability to store, transfer and otherwise process data or, in some cases, impact our ability or our customers’ ability to offer our services in certain locations, to deploy our products, to reach current and prospective customers, or to derive insights from customer data globally.</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cannot assure you that any third-party partners with access to our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regulations, rules, standards and other obligations, which could in turn</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adversely affect our business, results of operations and financial condition. We cannot assure you that our contractual measures and our own privacy and data protection-related safeguards will protect us from the risks associated with the third-party processing, storage and transmission of such information. Increasing use of social media could also give rise to liability, breaches of data security or reputational damage.</w:t>
      </w:r>
    </w:p>
    <w:p>
      <w:pPr>
        <w:spacing w:after="0" w:line="16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failure or perceived failure to comply with any applicable privacy or data protection laws, regulations, rules, standards or other obligations could result in increased costs for our products, monetary penalties, damage to our reputation, government and regulatory inquiries, investigations and enforcement actions, fines or legal action. Additionally, if our customers, third-party partners, vendors or developers violate applicable laws, regulations, rules or standards, or our policies or other privacy or security-related obligations, such violations may also put the information of our customers, suppliers, third-party partners or employees at risk and could in turn have an adverse effect on our business.</w:t>
      </w:r>
    </w:p>
    <w:p>
      <w:pPr>
        <w:spacing w:after="0" w:line="176"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Furthermore, the uncertain and shifting regulatory environment and trust climate may cause concerns regarding privacy and data protection and may cause our customers or their customers to resist providing the data necessary to allow our customers to use our services effectively. Even the perception that the privacy of personal information is not satisfactorily protected or does not meet regulatory requirements could inhibit sales of our products or services and could limit adoption of our products. Any of the foregoing could have a material adverse effect on our business, results of operations, financial condition and prospects.</w:t>
      </w:r>
    </w:p>
    <w:p>
      <w:pPr>
        <w:spacing w:after="0" w:line="29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operations are subject to the U.K. Bribery Act 2010 (the “Bribery Act”), the U.S. Foreign Corrupt Practices Act (the “FCPA”), and other applicable anti-corruption laws in countries where we do business and may do business in the future. These anti-corruption laws generally prohibit us, our officers, our employees, affiliates, agents and intermediaries from offering or paying bribes, requesting or accepting bribes, or making other prohibited payments to government officials or other persons to obtain or retain business or gain some other business advantage. Under the Bribery Act, we may also be liable for failing to prevent a person associated with us from committing a bribery offense. We have operations in countries considered high risk for corruption, such as China and India, agreements and collaborations with third parties, interactions with government officials, and other business activities that could expose us to corruption risk. While we have compliance safeguards in place, it is possible that these safeguards prove insufficient, or that our employees, intermediaries, or other third-party business partners may engage in activities that subject us to liability under the Bribery Act, FCPA, or other anti-corruption laws. In addition, we cannot predict the nature, scope or effect of future regulatory requirements to which our international operations might be subject or the manner in which existing laws might be administered or interpreted. If we further expand our operations internationally, we will need to dedicate additional resources to comply with numerous laws and regulations in each jurisdiction in which we plan to operate.</w:t>
      </w:r>
    </w:p>
    <w:p>
      <w:pPr>
        <w:spacing w:after="0" w:line="17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If we are not in compliance with the Bribery Act, the FCPA and other anti-corruption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risks related to government contracts and related procurement regulations.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For the fiscal year ended March 31, 2023, % of our total revenue was derived from contracts with governmental entities, governmental subcontractors and public universities. Our contracts with such entities, including in the U.K., the European Union and the U.S., are subject to various regulations and other requirements relating to their formation, administration and performance. We may be subject to audits and investigations relating to government contracts, and any violations could result in various civil and criminal penalties and administrative sanctions, including termination of the contract, payment of fines or suspension or debarment from future government business. If we were to lose a significant number of government contracts, it would have an adverse impact on our results of operations.</w:t>
      </w:r>
    </w:p>
    <w:p>
      <w:pPr>
        <w:spacing w:after="0" w:line="300"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regulations, provide accurate information to regulatory authorities, comply with manufacturing standards, report financial information or data accurately or disclose unauthorized activities to us. We may also be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and prospects, including the imposition of significant fines or other sanctions and damage to our reputation.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Status as a Controlled Company and Foreign Private Issuer</w:t>
      </w:r>
    </w:p>
    <w:p>
      <w:pPr>
        <w:spacing w:after="0" w:line="121" w:lineRule="exact"/>
        <w:rPr>
          <w:sz w:val="20"/>
          <w:szCs w:val="20"/>
          <w:color w:val="auto"/>
        </w:rPr>
      </w:pPr>
    </w:p>
    <w:p>
      <w:pPr>
        <w:ind w:left="120" w:right="140"/>
        <w:spacing w:after="0" w:line="375" w:lineRule="auto"/>
        <w:rPr>
          <w:sz w:val="20"/>
          <w:szCs w:val="20"/>
          <w:color w:val="auto"/>
        </w:rPr>
      </w:pPr>
      <w:r>
        <w:rPr>
          <w:rFonts w:ascii="Arial" w:cs="Arial" w:eastAsia="Arial" w:hAnsi="Arial"/>
          <w:sz w:val="15"/>
          <w:szCs w:val="15"/>
          <w:b w:val="1"/>
          <w:bCs w:val="1"/>
          <w:i w:val="1"/>
          <w:iCs w:val="1"/>
          <w:color w:val="auto"/>
        </w:rPr>
        <w:t>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Immediately after the completion of this offering, SoftBank and SoftBank Vision Fund are expected to own approximately % and %, respectively, of our outstanding ordinary shares (or % and %, respectively, if the underwriters exercise their option to purchase additional ADSs from the selling shareholders in full) and thus a majority of the total voting power of our ordinary shares. As a result of SoftBank’s ownership, after the completion of this offering, we will be a “controlled company” under the Nasdaq corporate governance standards.</w:t>
      </w:r>
    </w:p>
    <w:p>
      <w:pPr>
        <w:spacing w:after="0" w:line="187" w:lineRule="exact"/>
        <w:rPr>
          <w:sz w:val="20"/>
          <w:szCs w:val="20"/>
          <w:color w:val="auto"/>
        </w:rPr>
      </w:pPr>
    </w:p>
    <w:p>
      <w:pPr>
        <w:ind w:left="120" w:right="340" w:firstLine="440"/>
        <w:spacing w:after="0" w:line="275" w:lineRule="auto"/>
        <w:rPr>
          <w:sz w:val="20"/>
          <w:szCs w:val="20"/>
          <w:color w:val="auto"/>
        </w:rPr>
      </w:pPr>
      <w:r>
        <w:rPr>
          <w:rFonts w:ascii="Arial" w:cs="Arial" w:eastAsia="Arial" w:hAnsi="Arial"/>
          <w:sz w:val="17"/>
          <w:szCs w:val="17"/>
          <w:color w:val="auto"/>
        </w:rPr>
        <w:t>Because we will qualify to be treated as a controlled company, we will have the option not to comply with certain requirements to which companies that are not controlled companies are subject, including the requirement that a majority of the Board of Directors consists of independent directors and the requirement that its nominating and corporate governance committee and remuneration committee be composed entirely of independent directors. In the event that we elect to use the controlled company exemptions, holders of our ADSs will not have the same protections afforded to stockholders of companies that are subject to these corporate governance requirements.</w:t>
      </w:r>
    </w:p>
    <w:p>
      <w:pPr>
        <w:spacing w:after="0" w:line="2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As long as SoftBank controls us, other holders of our ordinary shares and ADSs will have limited ability to influence matters requiring stockholder approval or the composition of our Board of Directors.</w:t>
      </w:r>
    </w:p>
    <w:p>
      <w:pPr>
        <w:spacing w:after="0" w:line="6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Immediately after the completion of this offering, SoftBank is expected to own approximately % (or approximately % if the underwriters exercise their option to purchase additional ADSs from the selling shareholders in full) of our total issued and outstanding share capital as of the date of this prospectus. As a result,</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for so long as SoftBank and its respective affiliates hold shares representing a majority of the votes entitled to be cast by the holders of our outstanding ordinary shares at a shareholder meeting, SoftBank will generally have the ability to control the outcome of any matter submitted for the vote of our shareholders, except in certain limited circumstances as set forth in the Articles and the Companies Act.</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addition, so long as SoftBank and any of its controlled affiliates hold ordinary shares representing at least a majority of the votes entitled to be cast by the holders of our ordinary shares at a shareholder meeting, SoftBank will have the ability to control the election of all of the members of our Board of Directors. The directors elected by SoftBank will have the authority to make important decisions regarding our business, including decisions affecting our capital structure, such as the issuance of equity, the incurrence of indebtedness, the implementation of stock repurchase programs and the declaration of dividends.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SoftBank’s interests may conflict with our own interests and those of holders of our ADSs.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interests of SoftBank may not coincide with our own interests or the interests of holders of our ADSs. Because SoftBank will generally have the ability, subject to limitations in the Articles and the Companies Act, to control all matters submitted to our shareholders for approval, including the election of all of the members of our Board of Directors, other shareholders will have limited ability to influence corporate matters. As a result, SoftBank may cause us to take corporate actions that members of our management or other shareholders do not view as beneficial, or that provide SoftBank with benefits at our expense. Such actions could have a material and adverse effect on our business, results of operations and the trading price of our ADSs.</w:t>
      </w:r>
    </w:p>
    <w:p>
      <w:pPr>
        <w:spacing w:after="0" w:line="192"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Disputes may arise between us and SoftBank or its affiliates in a number of areas, including relating to arrangements with third parties that are exclusionary to us or SoftBank or its affiliates and business opportunities that may be attractive to both us and SoftBank or its affiliates. Furthermore, disputes may arise between us and SoftBank or its affiliates with respect to Arm China. As of the date hereof, approximately 48% of the equity interest in Arm China is owned by Acetone Limited, which SoftBank controls and in which we own a 10% non-voting interest (representing an approximate</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4.8% indirect interest). We may not be able to resolve any potential conflicts with SoftBank and, even if we do, the resolution may be less favorable than if we were dealing with an unaffiliated party, which could have an adverse effect on our business, results of operations and the trading price of our ADSs.</w:t>
      </w:r>
    </w:p>
    <w:p>
      <w:pPr>
        <w:spacing w:after="0" w:line="19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addition, some of our directors and officers currently, and in the future may, directly or indirectly own equity interests in SoftBank, and Mr. Son is also the Chairman and Chief Executive Officer of SoftBank. Ownership of such equity interests by our directors and officers and the presence of Mr. Son, as the chair of our Board of Directors, could create, or appear to create, conflicts of interest with respect to matters involving both us and any one of them, or involving us and SoftBank. Provisions of the Articles address corporate opportunities that are presented to our directors that are also directors or officers of SoftBank. We cannot assure you that the Articles will adequately address potential conflicts of interest or that potential conflicts of interest will be resolved in our favor or that we will be able to take advantage of corporate opportunities presented to individuals who are directors of both us and SoftBank. As a result, we may be precluded from pursuing certain advantageous transactions or growth initiatives.</w:t>
      </w:r>
    </w:p>
    <w:p>
      <w:pPr>
        <w:spacing w:after="0" w:line="166"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Furthermore, regardless of the performance of our own business, SoftBank’s business, results of operations and the trading price of SoftBank’s securities may adversely affect the trading price of our ADSs. In addition, SoftBank is not restricted from competing with us or otherwise taking for itself or its other affiliates certain corporate opportunities that may be attractive to us. See “Related Party Transactions.”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SoftBank’s ability to control all matters submitted to our shareholders may have the effect of delaying, preventing or deterring a change of control, which could deprive holders of our ADSs of an opportunity to receive a premium for their ADSs as part of a change of control, and might ultimately affect the fair market value of our ADSs.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SoftBank sells a controlling equity interest in our company to a third party in a private transaction, you may not realize any change-of-control premium on your ADSs and we may become subject to the control of a currently unknown third party.</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SoftBank will have the ability, should it choose to do so, to sell some or all of its shares in a privately negotiated transaction, which, if sufficient in size, could result in a change of control of us. The ability of SoftBank to privately sell its shares, with no requirement for a concurrent offer to be made to acquire all of the ADSs that will be publicly traded following the completion of this offering, could prevent you from realizing any change-of-control premium on your ADSs that may otherwise accrue to SoftBank on its private sale of shares. In addition, if SoftBank privately sells its controlling equity interest or if a lender forecloses on a controlling interest pledged by SoftBank, we may become subject to the control of a currently unknown third party. The interests of this third party may not be the same as, or may conflict with, the interests of our other shareholders. Furthermore, if SoftBank sells a controlling equity interest in our company to a third party or a lender forecloses on a pledged controlling equity interest in our company, our future indebtedness may be subject to acceleration, and our other commercial agreements and relationships, including any remaining agreements with SoftBank, could be impacted. The occurrence of any of these events could adversely affect our business, results of operations, financial condition and prospects.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SoftBank’s ability to control our Board of Directors may make it difficult for us to recruit independent directors.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For so long as SoftBank and its controlled affiliates hold our ordinary shares representing at least a majority of the votes entitled to be cast by the holders of our ordinary shares at a shareholder meeting, SoftBank will be able to elect all of the members of our Board of Directors. Under these circumstances, qualified and experienced persons who might otherwise accept an invitation to join our Board of Directors may decline, which means that we would not be able to benefit from their qualifications and expertise in service as members of our Board of Directors. See “Related Party Transactions.”</w:t>
      </w:r>
    </w:p>
    <w:p>
      <w:pPr>
        <w:spacing w:after="0" w:line="29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U.S. public companies.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are a “foreign private issuer,” as defined in the SEC rules and regulations, and, consequently, we are not subject to all the disclosure requirements applicable to companies organized within the U.S.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7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As a foreign private issuer, we will file an annual report on Form 20-F within four months of the close of each fiscal year ended March 31 and reports on Form 6-K relating to certain material events promptly after we publicly announce these events. However, because of the above exemptions for foreign private issuers, our shareholders will not be afforded the same protections or information generally available to investors holding shares in public companies organized in the U.S.</w:t>
      </w: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While we are a foreign private issuer, we may opt out of certain Nasdaq corporate governance rules applicable to public companies organized in the U.S.</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entitled to rely on a provision in Nasdaq’s corporate governance rules that allows us to follow English corporate law with regard to certain aspects of corporate governance. This allows us to follow certain</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corporate governance practices that differ in significant respects from the corporate governance requirements applicable to domestic issuers listed on Nasdaq, which may provide less protection to our shareholders than what is accorded to investors under the Nasdaq rules applicable to domestic issuers.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example, we are exempt from Nasdaq regulations that require a listed U.S. company to:</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 within four business days of any determination to grant a waiver of the Code of Conduct to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shareholder approval for certain issuances of securities, including shareholder approval of share option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give the audit committee review and oversight responsibilities over all “related party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a remuneration committee of the Board of Directors that is composed entirely of independent directors;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director nominees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accordance with Nasdaq listing rules, our audit committee is required to comply with the provisions of Section 301 of the Sarbanes-Oxley Act and Rule 10A-3 of the Exchange Act, both of which are also applicable to Nasdaq-listed U.S. companies. Because we are a foreign private issuer, however, our audit committee is not subject to additional requirements applicable to Nasdaq-listed U.S. companies, including an affirmative determination that all members of the audit committee are “independent,” using more stringent criteria than those applicable to us as a foreign private issuer, subject to certain phase-in requirements permitted by Rule 10A-3 of the Exchange Act. See “Management and Executive Remuneration— Foreign Private Issuer Exemption.”</w:t>
      </w:r>
    </w:p>
    <w:p>
      <w:pPr>
        <w:spacing w:after="0" w:line="30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required to test our foreign private issuer status at the end of our second fiscal quarter in each fiscal year after the completion of this offering. If we were no longer a foreign private issuer, we would be required to comply with all of the periodic disclosure and current reporting requirements of the Exchange Act applicable to U.S. domestic issuers as of April 1, 2025. In order to maintain our current status as a foreign private issuer, either (a) a majority of our securities must be either directly or indirectly owned of record by nonresidents of the U.S. or (b)(i) a majority of our executive officers or directors cannot be U.S. citizens or residents, (ii) more than 50% of our assets must be located outside the U.S. and (iii) our business must be administered principally outside the U.S. If SoftBank does not continue to hold a majority of our ordinary shares, we would likely fail to maintain our status as foreign private issuer.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is likely to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are incorporated under the laws of England and Wales. The rights of holders of ordinary shares and, therefore, certain of the rights of holders of ADSs, are governed by English law, including the provisions of the Companies Act and by the Articles. These rights differ in certain respects from the rights of shareholders in typical U.S. corporations. See “Description of Share Capital and Articles of Association—Differences in Corporate Law” in this prospectus for a description of the principal differences between the provisions of the Companies Act applicable to us and, for example, the Delaware General Corporation Law relating to shareholders’ rights and protections. The principal differences include the following:</w:t>
      </w:r>
    </w:p>
    <w:p>
      <w:pPr>
        <w:spacing w:after="0" w:line="67" w:lineRule="exact"/>
        <w:rPr>
          <w:sz w:val="20"/>
          <w:szCs w:val="20"/>
          <w:color w:val="auto"/>
        </w:rPr>
      </w:pPr>
    </w:p>
    <w:p>
      <w:pPr>
        <w:ind w:left="1080" w:right="6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should be aware, however, that the voting rights of ADSs are also governed by the provisions of a deposit agreement with our depositary bank;</w:t>
      </w:r>
    </w:p>
    <w:p>
      <w:pPr>
        <w:spacing w:after="0" w:line="75"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English law, certain matters require the approval of 75% of the shareholders who vote (in person or by proxy) on the relevant resolution (or on a poll of shareholders representing 75% of the ordinary shares voting (in person or by proxy)), including amendments to the Articles.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93" w:lineRule="exact"/>
        <w:rPr>
          <w:rFonts w:ascii="Arial" w:cs="Arial" w:eastAsia="Arial" w:hAnsi="Arial"/>
          <w:sz w:val="18"/>
          <w:szCs w:val="18"/>
          <w:color w:val="auto"/>
        </w:rPr>
      </w:pPr>
    </w:p>
    <w:p>
      <w:pPr>
        <w:ind w:left="1080" w:hanging="424"/>
        <w:spacing w:after="0" w:line="289"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U.K., takeovers may be structured as takeover offers or as schemes of arrangement. Under English law, subject to the U.K. City Code on Takeovers and Mergers (the “Takeover Code”) applying, a bidder seeking to acquire us by means of a takeover offer would need to make an offer for all of our outstanding ordinary shares and ADSs. If acceptances are not received for 90% or more of the ordinary shares and ADSs under the offer, under English law, the bidder cannot complete a “squeeze out” to obtain 100% control of us. Accordingly, acceptances of 90% of our outstanding ordinary shares/ADSs would (subject to the Takeover Code applying) likely be a condition in any takeover offer to acquire us, not 50% as is more common in tender offers for corporations organized under U.S. law. By contrast, a scheme of arrangement, the successful completion of which would result in a bidder obtaining 100% control of us, requires the approval of a majority in number of the shareholders or class of shareholders present and voting either in person or by proxy at the meeting and representing 75% in value of the ordinary shares (including those represented by ADSs) voting at the meeting for approval;</w:t>
      </w:r>
    </w:p>
    <w:p>
      <w:pPr>
        <w:spacing w:after="0" w:line="71" w:lineRule="exact"/>
        <w:rPr>
          <w:rFonts w:ascii="Arial" w:cs="Arial" w:eastAsia="Arial" w:hAnsi="Arial"/>
          <w:sz w:val="16"/>
          <w:szCs w:val="16"/>
          <w:color w:val="auto"/>
        </w:rPr>
      </w:pPr>
    </w:p>
    <w:p>
      <w:pPr>
        <w:ind w:left="1080" w:right="120" w:hanging="424"/>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English law and the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93"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the Articles, the quorum requirement for a shareholder’s meeting is a minimum of two shareholders present in person (or, if a corporation, by representative)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62"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color w:val="auto"/>
        </w:rPr>
        <w:t>On , 2023, Arm Holdings Limited was re-registered as a public limited company with the name Arm Holdings plc. English law provides that, subject to certain exceptions (including the allotment, or the grant of rights to subscribe for or convert any security into shares, in pursuance of an employees’ share scheme), a board of directors of a public limited company may only allot shares (or grant rights to subscribe for or convert any security into shares) with the prior authorization of shareholders, such authorization stating the aggregate nominal amount of shares that it covers and being valid for a maximum period of five years, each as specified in the articles of association or relevant ordinary shareholder resolution</w:t>
      </w:r>
    </w:p>
    <w:p>
      <w:pPr>
        <w:spacing w:after="0" w:line="2"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passed by shareholders at a general meeting. We have obtained authority from our shareholders to allot additional shares ending , which authorization will need to be renewed upon expiration (</w:t>
      </w:r>
      <w:r>
        <w:rPr>
          <w:rFonts w:ascii="Arial" w:cs="Arial" w:eastAsia="Arial" w:hAnsi="Arial"/>
          <w:sz w:val="18"/>
          <w:szCs w:val="18"/>
          <w:i w:val="1"/>
          <w:iCs w:val="1"/>
          <w:color w:val="auto"/>
        </w:rPr>
        <w:t>i.e.</w:t>
      </w:r>
      <w:r>
        <w:rPr>
          <w:rFonts w:ascii="Arial" w:cs="Arial" w:eastAsia="Arial" w:hAnsi="Arial"/>
          <w:sz w:val="18"/>
          <w:szCs w:val="18"/>
          <w:color w:val="auto"/>
        </w:rPr>
        <w:t>, at least every five years) but may be sought more frequently for additional five-year terms (or any shorter period).</w:t>
      </w:r>
    </w:p>
    <w:p>
      <w:pPr>
        <w:spacing w:after="0" w:line="19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English law also generally provides shareholders with preemptive rights when new shares are issued for cash, except that such rights do not apply to the allotment of equity securities that would, apart from any renunciation or assignment of the right to their allotment, be held under or allotted or transferred pursuant to an employees’ share scheme.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but not longer than the duration of the authority to allot shares to which the disapplication relates. In either case, this disapplication would need to be renewed by our shareholders upon its expiration (</w:t>
      </w:r>
      <w:r>
        <w:rPr>
          <w:rFonts w:ascii="Arial" w:cs="Arial" w:eastAsia="Arial" w:hAnsi="Arial"/>
          <w:sz w:val="16"/>
          <w:szCs w:val="16"/>
          <w:i w:val="1"/>
          <w:iCs w:val="1"/>
          <w:color w:val="auto"/>
        </w:rPr>
        <w:t>i.e.</w:t>
      </w:r>
      <w:r>
        <w:rPr>
          <w:rFonts w:ascii="Arial" w:cs="Arial" w:eastAsia="Arial" w:hAnsi="Arial"/>
          <w:sz w:val="16"/>
          <w:szCs w:val="16"/>
          <w:color w:val="auto"/>
        </w:rPr>
        <w:t>, at least every five years). We have obtained authority from our shareholders to disapply preemptive rights ending</w:t>
      </w:r>
    </w:p>
    <w:p>
      <w:pPr>
        <w:spacing w:after="0" w:line="1" w:lineRule="exact"/>
        <w:rPr>
          <w:sz w:val="20"/>
          <w:szCs w:val="20"/>
          <w:color w:val="auto"/>
        </w:rPr>
      </w:pPr>
    </w:p>
    <w:p>
      <w:pPr>
        <w:ind w:left="120" w:right="540" w:firstLine="896"/>
        <w:spacing w:after="0" w:line="260" w:lineRule="auto"/>
        <w:tabs>
          <w:tab w:leader="none" w:pos="11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which disapplication will need to be renewed upon expiration (</w:t>
      </w:r>
      <w:r>
        <w:rPr>
          <w:rFonts w:ascii="Arial" w:cs="Arial" w:eastAsia="Arial" w:hAnsi="Arial"/>
          <w:sz w:val="18"/>
          <w:szCs w:val="18"/>
          <w:i w:val="1"/>
          <w:iCs w:val="1"/>
          <w:color w:val="auto"/>
        </w:rPr>
        <w:t>i.e.</w:t>
      </w:r>
      <w:r>
        <w:rPr>
          <w:rFonts w:ascii="Arial" w:cs="Arial" w:eastAsia="Arial" w:hAnsi="Arial"/>
          <w:sz w:val="18"/>
          <w:szCs w:val="18"/>
          <w:color w:val="auto"/>
        </w:rPr>
        <w:t>, at least every five years), but may be sought more frequently for additional five-year terms (or any shorter period).</w:t>
      </w:r>
    </w:p>
    <w:p>
      <w:pPr>
        <w:spacing w:after="0" w:line="18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 See “Description of Share Capital and Articles of Association.”</w:t>
      </w:r>
    </w:p>
    <w:p>
      <w:pPr>
        <w:spacing w:after="0" w:line="29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Transfers of ADSs outside DTC may be subject to stamp duty or stamp duty reserve tax in the U.K., which would increase the cost of dealing in ADSs.</w:t>
      </w:r>
    </w:p>
    <w:p>
      <w:pPr>
        <w:spacing w:after="0" w:line="6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On completion of this offering, it is anticipated that the ADSs will be issued to a nominee for The Depository Trust Company (“DTC”) and corresponding book-entry interests credited in the facilities of DTC. On the basis of current law and HM Revenue &amp; Custom (“HMRC”) practice, no charges to U.K. stamp duty or stamp duty reserve tax (“SDRT”) are expected to arise on the issue of ADSs into DTC’s facilities or on transfers of book-entry interests in ADSs within DTC’s facilities and you are strongly encouraged to hold your ADSs in book-entry form through the facilities of DTC.</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 transfer of title in the ADSs from within the DTC clearance system to a purchaser out of the DTC clearance system and any subsequent transfers that occur entirely outside the DTC clearance system, will attract a charge to stamp duty at a rate of 0.5% of any consideration, which is normally payable by the transferee of the ADSs. Any such duty must be paid (and the relevant transfer document, if any, stamped by HMRC) before the transfer can be registered in the books of the depositary for the ADSs. However, if those ADSs are redeposited into the DTC clearance system, the redeposit will attract stamp duty or SDRT at the rate of 1.5% to be paid by the transferor.</w:t>
      </w:r>
    </w:p>
    <w:p>
      <w:pPr>
        <w:spacing w:after="0" w:line="18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connection with the completion of this offering, we expect to put in place arrangements to require that ADSs held in certificated form or otherwise outside the DTC clearance system cannot be transferred into the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DTC clearance system until the transferor of the ADS has first delivered the ADS to a depositary specified by us so that stamp duty (or SDRT) may be collected in connection with the initial delivery to the depositary. Any such ADSs will be evidenced by a receipt issued by the depositary. Before the transfer can be registered in the books of the depositary for the ADSs, the transferor will also be required to put funds in the depositary to settle the resultant liability to stamp duty (or SDRT), which will be charged at a rate of 1.5% of the value of the ADSs.</w:t>
      </w:r>
    </w:p>
    <w:p>
      <w:pPr>
        <w:spacing w:after="0" w:line="17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For further information about the U.K. stamp duty and SDRT implications of holding ADSs, please see the section titled “Material Tax Considerations—U.K. Taxation” of this prospectus.</w:t>
      </w:r>
    </w:p>
    <w:p>
      <w:pPr>
        <w:spacing w:after="0" w:line="2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The Articles will provide that the courts of England and Wales will be the exclusive forum for the resolution of all shareholder complaints other than complaints asserting a cause of action arising under the Securities Act and the Exchange Act, and that the U.S. District Court for the Southern District of New York will be the exclusive forum for the resolution of any shareholder complaint asserting a cause of action arising under the Securities Act or the Exchange Act.</w:t>
      </w:r>
    </w:p>
    <w:p>
      <w:pPr>
        <w:spacing w:after="0" w:line="7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Articles will provide that the courts of England and Wales will be the exclusive forum for resolving all shareholder complaints other than shareholder complaints asserting a cause of action arising under the Securities Act or the Exchange Act, and that the U.S. District Court for the Southern District of New York will be the exclusive forum for resolving any shareholder complaint asserting a cause of action arising under the Securities Act or the Exchange Act, including applicable claims arising out of this offering. In addition, the Articles will provide that any person or entity purchasing or otherwise acquiring any interest in our shares is deemed to have notice of and consented to these provisions.</w:t>
      </w:r>
    </w:p>
    <w:p>
      <w:pPr>
        <w:spacing w:after="0" w:line="176"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the Articles. Additionally, our shareholders cannot waive compliance with the federal securities laws and the rules and regulations thereunder. If a court were to find either choice of forum provision contained in the Articles to be inapplicable or unenforceable in an action, we may incur additional costs associated with resolving such action in other jurisdictions, which could adversely affect our results of operations and financial condition. The courts of England and Wales and the U.S. District Court for the Southern District of New York may also reach different judgments or results than would other courts, including courts where a shareholder considering bringing a claim may be located or would otherwise choose to bring the claim, and such judgments may be more or less favorable to us than our shareholders.</w:t>
      </w:r>
    </w:p>
    <w:p>
      <w:pPr>
        <w:spacing w:after="0" w:line="2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Shareholder protections found in provisions under the Takeover Code will not apply if our place of central management and control is considered to change to outside the U.K.</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Following re-registration as a public limited company with its registered office in the U.K., we expect that the Company will be subject to the Takeover Code. Depending on meeting the jurisdictional criteria, the Takeover Code can be applicable to public limited companies incorporated in the U.K. We believe that our place of central management and control is, and will continue to be, in the U.K. for the purposes of the jurisdictional criteria of the Takeover Code. Accordingly, we expect that we will be subject to the Takeover Code and, as a result, our shareholders will be entitled to the benefit of certain takeover offer protections provided under the Takeover Code. The Takeover Code provides a framework within which takeovers of companies are regulated and conducted. If, at the time of a takeover offer, the Panel on Takeovers and Mergers determines that we do not have our place of central management and control in the U.K., then the Takeover Code would not apply to us and our shareholders would not be entitled to the benefit of the various protections that the Takeover Code affords. In particular, we would not be subject to the rules regarding mandatory takeover bids. See “Description of Share Capital and Articles of Association—Other Relevant English Law Considerations—Application of the U.K. City</w:t>
      </w:r>
    </w:p>
    <w:p>
      <w:pPr>
        <w:spacing w:after="0" w:line="9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Code on Takeovers and Mergers.” The following is a brief summary of some of the most important rules of the Takeover Code:</w:t>
      </w:r>
    </w:p>
    <w:p>
      <w:pPr>
        <w:spacing w:after="0" w:line="131" w:lineRule="exact"/>
        <w:rPr>
          <w:sz w:val="20"/>
          <w:szCs w:val="20"/>
          <w:color w:val="auto"/>
        </w:rPr>
      </w:pPr>
    </w:p>
    <w:p>
      <w:pPr>
        <w:ind w:left="1080" w:right="6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92"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When a person (a) acquires, whether by a series of transactions over a period of time or not, interests in shares carrying 30% or more of the voting rights of a company when taken together with shares in which persons acting in concert with that person are interested (which percentage is treated by the Takeover Code as the level at which effective control is obtained), or (b) acquires an interest in any other shares which increases the percentage of shares carrying voting rights in which they are interested when they are, together with persons acting in concert with them, already interested in shares which carry not less than 30% of the voting rights but do not hold shares carrying more than 50% of such voting rights, they must make a cash offer to all other shareholders at the highest price paid by them or any person acting in concert with them in the twelve months before the offer was announced.</w:t>
      </w:r>
    </w:p>
    <w:p>
      <w:pPr>
        <w:spacing w:after="0" w:line="82" w:lineRule="exact"/>
        <w:rPr>
          <w:rFonts w:ascii="Arial" w:cs="Arial" w:eastAsia="Arial" w:hAnsi="Arial"/>
          <w:sz w:val="17"/>
          <w:szCs w:val="17"/>
          <w:color w:val="auto"/>
        </w:rPr>
      </w:pPr>
    </w:p>
    <w:p>
      <w:pPr>
        <w:ind w:left="1080" w:right="40" w:hanging="424"/>
        <w:spacing w:after="0" w:line="273"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When interests in shares carrying 10% or more of the voting rights of a class have been acquired for cash by an offeror (</w:t>
      </w:r>
      <w:r>
        <w:rPr>
          <w:rFonts w:ascii="Arial" w:cs="Arial" w:eastAsia="Arial" w:hAnsi="Arial"/>
          <w:sz w:val="17"/>
          <w:szCs w:val="17"/>
          <w:i w:val="1"/>
          <w:iCs w:val="1"/>
          <w:color w:val="auto"/>
        </w:rPr>
        <w:t>i.e.</w:t>
      </w:r>
      <w:r>
        <w:rPr>
          <w:rFonts w:ascii="Arial" w:cs="Arial" w:eastAsia="Arial" w:hAnsi="Arial"/>
          <w:sz w:val="17"/>
          <w:szCs w:val="17"/>
          <w:color w:val="auto"/>
        </w:rPr>
        <w:t>, a bidder) and any person acting in concert with it in the offer period (</w:t>
      </w:r>
      <w:r>
        <w:rPr>
          <w:rFonts w:ascii="Arial" w:cs="Arial" w:eastAsia="Arial" w:hAnsi="Arial"/>
          <w:sz w:val="17"/>
          <w:szCs w:val="17"/>
          <w:i w:val="1"/>
          <w:iCs w:val="1"/>
          <w:color w:val="auto"/>
        </w:rPr>
        <w:t>i.e.</w:t>
      </w:r>
      <w:r>
        <w:rPr>
          <w:rFonts w:ascii="Arial" w:cs="Arial" w:eastAsia="Arial" w:hAnsi="Arial"/>
          <w:sz w:val="17"/>
          <w:szCs w:val="17"/>
          <w:color w:val="auto"/>
        </w:rPr>
        <w:t>, before the shares subject to the offer have been acquired) and the previous twelve months, the offer must be in cash or be accompanied by a cash alternative for all shareholders of that class at not less than the highest price paid by the offeror or any person acting in concert with it in that period. Further, if an offeror or any person acting in concert with them acquires for cash any interest in shares during the offer period, the offer for the shares must be in cash or accompanied by a cash alternative at a price at least equal to the highest price paid for such shares during the offer period.</w:t>
      </w:r>
    </w:p>
    <w:p>
      <w:pPr>
        <w:spacing w:after="0" w:line="83" w:lineRule="exact"/>
        <w:rPr>
          <w:rFonts w:ascii="Arial" w:cs="Arial" w:eastAsia="Arial" w:hAnsi="Arial"/>
          <w:sz w:val="17"/>
          <w:szCs w:val="17"/>
          <w:color w:val="auto"/>
        </w:rPr>
      </w:pPr>
    </w:p>
    <w:p>
      <w:pPr>
        <w:jc w:val="both"/>
        <w:ind w:left="1080" w:right="24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after a firm offer announcement is made, the offeror or any person acting in concert with it acquires an interest in shares in an offeree company (</w:t>
      </w:r>
      <w:r>
        <w:rPr>
          <w:rFonts w:ascii="Arial" w:cs="Arial" w:eastAsia="Arial" w:hAnsi="Arial"/>
          <w:sz w:val="18"/>
          <w:szCs w:val="18"/>
          <w:i w:val="1"/>
          <w:iCs w:val="1"/>
          <w:color w:val="auto"/>
        </w:rPr>
        <w:t>i.e.</w:t>
      </w:r>
      <w:r>
        <w:rPr>
          <w:rFonts w:ascii="Arial" w:cs="Arial" w:eastAsia="Arial" w:hAnsi="Arial"/>
          <w:sz w:val="18"/>
          <w:szCs w:val="18"/>
          <w:color w:val="auto"/>
        </w:rPr>
        <w:t>, a target) at a price higher than the value of the offer, the offer must be increased to not less than the highest price paid for the interest in shares so acquired.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75"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Those issuing takeover circulars must include statements taking responsibility for the contents thereof.</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Misleading, inaccurate or unsubstantiated statements made in documents or to the media must be publicly corrected immediately.</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dealings in relevant securities by the parties to an offer and any person who is interested (directly or indirectly) in 1% or more of any class of relevant securities.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line="31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 and Ownership of Our Securities</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There has been no prior market for our ordinary shares or the ADSs and an active, liquid and orderly trading market may not develop for our ADSs or be sustained following this offering, which could harm the market price of our ADSs and make it difficult for you to sell your ADSs.</w:t>
      </w:r>
    </w:p>
    <w:p>
      <w:pPr>
        <w:spacing w:after="0" w:line="1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Prior to this offering, there was no public trading market for our ordinary shares or ADSs. Although our ADSs are expected to be listed on Nasdaq, an active trading market for our ADSs may never develop or be sustained following this offering. You may not be able to sell your ADSs quickly or at the then-current market price if trading in our ADSs is not active. The initial public offering price was determined by negotiations among the lead underwriters, the selling shareholders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public offering price.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cause us to relinquish valuable rights.</w:t>
      </w:r>
    </w:p>
    <w:p>
      <w:pPr>
        <w:spacing w:after="0" w:line="14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of the securities may include liquidation or other preferences that may be senior to your rights as holder of ADSs. Any indebtedness we incur would result in increased payment obligations and could involve restrictive covenants, such as limitations on our ability to incur additional debt and other operating restrictions that could adversely impact our ability to conduct our business. Any debt or additional equity financing that we raise may contain terms that are not favorable to us or our shareholders.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collaborations, and alliances and licensing arrangements with third parties, we may have to relinquish valuable rights to our IP or products, or grant licenses on terms unfavorable to us.</w:t>
      </w:r>
    </w:p>
    <w:p>
      <w:pPr>
        <w:spacing w:after="0" w:line="185"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holders in the U.S. unless we register the offer and sale of the rights and the securities to which the rights relate under the Securities Act or an exemption from the registration requirements is available. Also, under the deposit agreement, the depositary bank will not make rights available to 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to endeavor to cause such a registration statement to be declared effective or to establish an exemption from registration under the Securities Act. Accordingly, you may be unable to participate in such a rights offerings and may experience dilution in your holdings.</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price of our ADSs may be volatile, and you may not be able to resell your ADSs at or above the initial public offering price.</w:t>
      </w:r>
    </w:p>
    <w:p>
      <w:pPr>
        <w:spacing w:after="0" w:line="1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market price of our ADSs following this offering could be volatile. The stock market in general, and the market for technology companies in particular, has experienced extreme volatility that has often been unrelated to the operating performance of particular companies, and the trading price of our ADSs may be volatile due to factors beyond our control. As a result of this volatility, you may not be able to sell your ADSs at or above the initial public offering price. The market price for our ADSs may be influenced by many factors, including:</w:t>
      </w:r>
    </w:p>
    <w:p>
      <w:pPr>
        <w:spacing w:after="0" w:line="77"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actual or anticipated annual or quarterly operating results or those of others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operations that otherwise fail to meet the expectations of securities analysts and investors;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ordinary shares relative to other investment alternatives;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semiconductor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publications, reports or other media exposure of our licensed products or those of others in our industry, or of our industry generally;</w:t>
      </w:r>
    </w:p>
    <w:p>
      <w:pPr>
        <w:spacing w:after="0" w:line="142" w:lineRule="exact"/>
        <w:rPr>
          <w:rFonts w:ascii="Arial" w:cs="Arial" w:eastAsia="Arial" w:hAnsi="Arial"/>
          <w:sz w:val="17"/>
          <w:szCs w:val="17"/>
          <w:color w:val="auto"/>
        </w:rPr>
      </w:pPr>
    </w:p>
    <w:p>
      <w:pPr>
        <w:ind w:left="1080" w:right="300" w:hanging="424"/>
        <w:spacing w:after="0" w:line="31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involving us or others in our industry, or actual or anticipated changes in applicable government regulations or enforcement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securities market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factors discussed in this “Risk Factors” section and elsewhere in this prospectus.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Broad market and industry factors may negatively affect the market price of our ADSs, regardless of our actual operating performance. Further, a decline in the financial markets and related factors beyond our control may cause the price of our ADSs to decline rapidly and unexpectedly. If the market price of our ADSs after the completion of this offering does not exceed the initial public offering price, you may not realize any return on your investment in us and may lose some or all of your investment. In the past, securities class action litigation has often been brought against a company following a decline in the market price of its securities. If we were to become involved in securities litigation, it could subject us to substantial costs, divert resources and the attention of management from our business and materially and adversely affect our business, financial condition, and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our ADSs may be influenced by reports published by industry and equity research analysts.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trading market for our ADSs will be influenced by the research and reports that industry or equity research analysts publish about us or our business. As a newly public company, the analysts who publish information about our ADSs will have had relatively little experience with us, which could affect their ability to</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accurately forecast our results and could make it more likely that we fail to meet their estimates. We will not have any control over the analysts’ content and opinions included in their reports. If any of the analysts who cover us issue an adverse or misleading opinion regarding us, our business model, financial performance, ADS price or otherwise, our ADS price would likely decline. If one or more of these analysts ceases coverage of our company or fails to regularly publish reports on us, we could lose visibility in the financial markets, which, in turn, could cause our ADS price or trading volume to decline and result in the loss of all or a part of your investment in 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Substantial future sales of ADSs in the public market, or the perception that these sales could occur, could cause the price of the ADSs to decline.</w:t>
      </w:r>
    </w:p>
    <w:p>
      <w:pPr>
        <w:spacing w:after="0" w:line="152"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If our existing shareholders sell, or indicate an intention to sell, substantial amounts of our ADSs in the public market after the lockup and other legal restrictions on resale discussed in this prospectus lapse, the trading price of our ADSs could decline. Upon completion of this offering, we will</w:t>
      </w:r>
    </w:p>
    <w:p>
      <w:pPr>
        <w:ind w:left="120" w:right="100"/>
        <w:spacing w:after="0" w:line="268" w:lineRule="auto"/>
        <w:rPr>
          <w:sz w:val="20"/>
          <w:szCs w:val="20"/>
          <w:color w:val="auto"/>
        </w:rPr>
      </w:pPr>
      <w:r>
        <w:rPr>
          <w:rFonts w:ascii="Arial" w:cs="Arial" w:eastAsia="Arial" w:hAnsi="Arial"/>
          <w:sz w:val="17"/>
          <w:szCs w:val="17"/>
          <w:color w:val="auto"/>
        </w:rPr>
        <w:t>have ordinary shares outstanding. Of these shares, only the shares represented by ADSs sold in this offering by the selling shareholders, plus any shares represented by ADSs sold upon exercise of the underwriters’ option to purchase additional ADSs, will be freely tradable without restriction in the public market immediately following this offering. In connection with this offering, our officers, directors and the selling shareholders have agreed to be subject to a contractual lock-up with the underwriters, which will expire after the end of a lock-up period, described in the sections titled “Ordinary Shares and ADSs Eligible for Future Sale” and “Underwriting.” If, upon the expiration of the lock-up period, these shareholders sell substantial amounts of our ADSs in the public market or engage in financing transactions involving our ADSs or ordinary shares, or the market perceives that such transactions may occur, the market price of our ADSs and our ability to raise capital through an issue of equity securities in the future could be adversely affected. SoftBank and SoftBank Vision Fund may have different investment strategies and interests and may decide to sell their holdings in us at different times from one another.</w:t>
      </w:r>
    </w:p>
    <w:p>
      <w:pPr>
        <w:spacing w:after="0" w:line="18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lock-up agreements contain important exceptions that govern their applicability. Moreover, the representatives of the underwriters may, in their sole discretion, permit our officers, directors and other shareholders who are subject to these lock-up agreements to sell shares prior to the expiration of the lock-up agreements.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ADSs are not treated as holders of our ordinary shares.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By participating in this offering you will become a holder of ADSs with underlying ordinary shares in a company incorporated under the laws of England and Wales.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Holders of ADSs may be subject to limitations on the transfer of their ADSs and the withdrawal of the underlying ordinary shares.</w:t>
      </w:r>
    </w:p>
    <w:p>
      <w:pPr>
        <w:spacing w:after="0" w:line="1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our ADSs is entitled to charge holders fees for various services, including annual ADS service fees.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depositary for our ADSs is entitled to charge ADS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ADS service fees. In the case of ADSs issued by the depositary into the DTC, the fees will be charged by the DTC participants to the account of the applicable beneficial owners of ADSs in accordance with the procedures and practices of the DTC participants as in effect at the time. See “—Risks Relating to Our Status as a Controlled Company and Foreign Private Issuer —Transfers of ADSs outside DTC may be subject to stamp duty or stamp duty reserve tax in the U.K., which would increase the cost of dealing in ADSs.”</w:t>
      </w:r>
    </w:p>
    <w:p>
      <w:pPr>
        <w:spacing w:after="0" w:line="30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ordinary shares and may not receive voting materials in time to be able to exercise your right to vote.</w:t>
      </w:r>
    </w:p>
    <w:p>
      <w:pPr>
        <w:spacing w:after="0" w:line="62"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Except as described in this prospectus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the Articles.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ADS holders a shareholder meeting notice that contains, among other things, a statement as to the manner in which voting instructions may be given to the depositary.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the Articles.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 ordinary shares underlying their ADSs are not voted as they have requested or if such ordinary shares cannot be voted.</w:t>
      </w:r>
    </w:p>
    <w:p>
      <w:pPr>
        <w:spacing w:after="0" w:line="2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depositary for our ADSs may give us a discretionary proxy to vote the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deposit agreement for our ADSs, the depositary has agreed to give us a discretionary proxy to vote our ordinary shares underlying your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ADSs at shareholders’ meetings if you do not give timely voting instructions to the depositary, unless:</w:t>
      </w:r>
    </w:p>
    <w:p>
      <w:pPr>
        <w:spacing w:after="0" w:line="11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our notice of meeting and related voting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5640" w:right="1960" w:hanging="4984"/>
        <w:spacing w:after="0" w:line="449" w:lineRule="auto"/>
        <w:tabs>
          <w:tab w:leader="none" w:pos="10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 62</w:t>
      </w:r>
    </w:p>
    <w:p>
      <w:pPr>
        <w:sectPr>
          <w:pgSz w:w="11900" w:h="16838" w:orient="portrait"/>
          <w:cols w:equalWidth="0" w:num="1">
            <w:col w:w="11100"/>
          </w:cols>
          <w:pgMar w:left="320" w:top="459" w:right="4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you cannot prevent our ordinary shares underlying your ADSs from being voted, absent the situations described above, and it may make it more difficult for shareholders to influence our management. Holders of our ordinary shares are not subject to this discretionary proxy.</w:t>
      </w:r>
    </w:p>
    <w:p>
      <w:pPr>
        <w:spacing w:after="0" w:line="2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28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it our understanding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agreeing to be a party to the deposit agreement.</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No condition, stipulation or provision of the deposit agreement or ADRs serves as a waiver by any holder or beneficial owner of ADSs or by us or the depositary of compliance with any substantive provision of the U.S. federal securities laws and the rules and regulations promulgated thereunder.</w:t>
      </w:r>
    </w:p>
    <w:p>
      <w:pPr>
        <w:spacing w:after="0" w:line="23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62" w:lineRule="exact"/>
        <w:rPr>
          <w:sz w:val="20"/>
          <w:szCs w:val="20"/>
          <w:color w:val="auto"/>
        </w:rPr>
      </w:pPr>
    </w:p>
    <w:p>
      <w:pPr>
        <w:jc w:val="both"/>
        <w:ind w:left="120" w:right="60" w:firstLine="440"/>
        <w:spacing w:after="0" w:line="293" w:lineRule="auto"/>
        <w:rPr>
          <w:sz w:val="20"/>
          <w:szCs w:val="20"/>
          <w:color w:val="auto"/>
        </w:rPr>
      </w:pPr>
      <w:r>
        <w:rPr>
          <w:rFonts w:ascii="Arial" w:cs="Arial" w:eastAsia="Arial" w:hAnsi="Arial"/>
          <w:sz w:val="16"/>
          <w:szCs w:val="16"/>
          <w:color w:val="auto"/>
        </w:rPr>
        <w:t>The depositary for the ADSs has agreed to pay to you the cash dividends or other distributions it or the custodian receives on our ordinary shares or other deposited securities after deducting its fees and expenses, and any taxes.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272"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English law, a company’s accumulated realized profits, to the extent they have not been previously utilized by distribution or capitalization, must exceed its accumulated realized losses, to the extent that they have not been previously written off in a reduction or reorganization of capital duly made (on a non-consolidated basis), before dividends can be paid. Therefore, we must have distributable profits before issuing a dividend.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initial public offering price. Investors seeking cash dividends should not purchase our ADSs in this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are incorporated under the laws of England and Wales and have our registered office in England. The U.S. and the U.K. do not currently have a treaty providing for reciprocal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English courts would entertain original actions brought in the U.K. against us or our directors or senior management predicated upon the securities laws of the U.S. or any state in the U.S. Any final and conclusive monetary judgment for a definite sum obtained against us in U.S. courts would be treated by English courts as a cause of action in itself and sued upon as a debt at common law so that no retrial of the issues would be necessary,</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provided that certain requirements are 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8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U.K. or countries other than the U.S. any judgments obtained in U.S. courts in civil and commercial matters, including judgments under the U.S. federal securities laws.</w:t>
      </w:r>
    </w:p>
    <w:p>
      <w:pPr>
        <w:spacing w:after="0" w:line="2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of director members.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the listing requirements of Nasdaq, on which our ADSs will trade,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already hired additional employees to comply with these requirements, we may need to hire more employees in the future, which will increase our costs and expenses.</w:t>
      </w:r>
    </w:p>
    <w:p>
      <w:pPr>
        <w:spacing w:after="0" w:line="16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w:t>
      </w:r>
    </w:p>
    <w:p>
      <w:pPr>
        <w:spacing w:after="0" w:line="181"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We also expect that being a public company combined with these new rules and regulations will make it more expensive for us to obtain director and officer liability insurance, and we may be required to accept reduced coverage or incur substantially higher costs to obtain coverage. These factors also could make it more difficult for us to attract and retain qualified senior management and members of our Board of Directors, particularly to serve on our audit committee and remuneration committee.</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materially harm our business, operating results and financial condition.</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U.S. and U.K. Tax Regimes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If we are (or one of our non-U.S. subsidiaries is) a “controlled foreign corporation”(a “CFC”), there could be adverse U.S. federal income tax consequences to certain U.S. investors.</w:t>
      </w:r>
    </w:p>
    <w:p>
      <w:pPr>
        <w:spacing w:after="0" w:line="62"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Generally, if a U.S. investor is treated as owning, directly, indirectly or constructively, at least 10% of either the total value or total combined voting power of our stock, such U.S. investor may be treated as a “United States shareholder” with respect to each CFC in our group, if any, for U.S. federal income tax purposes. A non-U.S. corporation will generally be classified as a CFC for U.S. federal income tax purposes if United States shareholders own, directly, indirectly or constructively, more than 50% of either the total value or the total combined voting power of the stock of such corporation. Because our group includes U.S. subsidiaries, our current non-U.S. subsidiaries and potentially any future newly formed or acquired non-U.S. subsidiaries generally will be treated as CFCs, regardless of whether we are treated as a CFC. A United States shareholder of a CFC may be required to annually report and include in its U.S. taxable income its pro rata share of “Subpart F income,” “global intangible low-taxed income” and investments of earnings in U.S. property, regardless of whether such CFC makes any distributions to its shareholders. Additionally, an individual that is a United States shareholder with respect to a CFC generally would not be allowed certain tax deductions or foreign tax credits that would be allowed to a United States shareholder that is a U.S. corporation. Failure to comply with CFC reporting obligations may also subject a United States shareholder to significant monetary penalties and may prevent the statute of limitations with respect to such United States shareholder’s U.S. federal income tax return for the year for which reporting was due from expiring. We cannot provide any assurances that we will furnish to any United States shareholder information that may be necessary to comply with the reporting and tax paying obligations applicable under the CFC rules of the Internal Revenue Code of 1986, as amended (the “Code”), and the United States Internal Revenue Service (the “IRS”) has provided only limited guidance on situations in which investors may rely on publicly available information to comply with their reporting and tax paying obligations with respect to foreign-controlled CFCs. U.S. investors should consult their tax advisors regarding the potential application of these rules to their investment in our ordinary shares or ADSs.</w:t>
      </w:r>
    </w:p>
    <w:p>
      <w:pPr>
        <w:spacing w:after="0" w:line="29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we are a passive foreign investment company (a “PFIC”) for any taxable year, there could be adverse U.S. federal income tax consequences to U.S. investors.</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general, we will be a PFIC for any taxable year in which, after the application of certain look-through rules with respect to our subsidiaries, either (1) 75% or more of our gross income consists of passive income or (2) 50% or more of the average quarterly value of our assets consists of assets that produce, or are held for the production of, passive income (including cash and cash equivalents). For purposes of these tests, passive income generally includes, among other things, dividends, interest, gains from certain sales or exchanges of investment property and certain rents and royalties. If we are a PFIC for any taxable year during which a U.S. investor holds our shares, we will generally continue to be treated as a PFIC with respect to such U.S. investor for all succeeding taxable years during which such U.S. investor holds our ordinary shares or ADSs, even if we cease to meet the threshold requirements for PFIC status. Such U.S. investor may be subject to adverse tax consequences with respect to our ordinary shares or ADSs, including ineligibility for any preferential tax rates on capital gains or on actual or deemed dividends, interest charges on certain taxes treated as deferred and additional reporting requirements. We cannot provide any assurance that we will furnish to such U.S. investor information that may be necessary to comply with the reporting and tax paying obligations applicable under the PFIC rules of the Code. Such U.S. investor should consult its tax advisors regarding the potential application of these rules to their investment in our ordinary shares or ADSs.</w:t>
      </w:r>
    </w:p>
    <w:p>
      <w:pPr>
        <w:spacing w:after="0" w:line="17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Based upon the value of our assets and the nature and composition of our income and assets, we expect that we will not be classified as a PFIC for the taxable year ended March 31, 2023, although no assurances can be made in this regard. However, the determination of whether we are a PFIC is a fact-intensive determination made on an annual basis applying principles and methodologies that in some circumstances are unclear and subject to varying interpretation. For instance, for our current and future taxable years, the total value of our assets (including goodwill) for PFIC testing purposes may be determined in part by reference to the market price of our</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ordinary shares or ADSs from time to time, which may fluctuate considerably. If our market capitalization declines while we hold a substantial amount of cash and cash equivalents for any taxable year (including cash raised in this offering),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including this offering.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and that the IRS would not successfully challenge our position.</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further discussion of the PFIC rules and the adverse U.S. federal income tax consequences in the event we are classified as a PFIC, as well as certain elections that may be available to U.S. investors, see the section of this prospectus titled “Material Tax Considerations—Material U.S. Federal Income Tax Considerations for U.S. Holders—Passive Foreign Investment Company Rules.”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2"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We conduct business globally and file income tax returns in multiple jurisdictions. Our consolidated effective income tax rate, and the tax treatment of our ADSs and ordinary shares, could be materially adversely affected by several factors, including: changing tax laws, regulations and treaties, or the interpretation thereof; tax policy initiatives and reforms under consideration (such as those related to the Organisation for Economic Co-Operation and Development’s Base Erosion and Profit Shifting Project, the European Commission’s state aid investigations and other initiatives); the practices of tax authorities in jurisdictions in which we operate; and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 or the SDRT treatment of our ADSs or ordinary shares.</w:t>
      </w:r>
    </w:p>
    <w:p>
      <w:pPr>
        <w:spacing w:after="0" w:line="16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believe that our provision for income taxes is reasonable, but the ultimate tax outcome may differ from the amounts recorded in our financial statements and may materially affect our financial results in the period or periods in which such outcome is determined.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financial statements,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Additionally, our future tax liability could be impacted by changes in accounting principles or changes in applicable tax jurisdictions.</w:t>
      </w:r>
    </w:p>
    <w:p>
      <w:pPr>
        <w:spacing w:after="0" w:line="17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we may periodically restructure our legal entities and if taxing authorities were to disagree with our tax positions in connection with any such restructurings, our tax liability could be materially affected. In connection with any restructuring we could also incur additional charges associated with consulting fees and other charges.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carry out extensive research and development activities, and as a result, we benefit in the U.K. from HMRC’s research and development expenditure credit (“RDEC”), which provides relief against U.K. corporation tax. Broadly, RDEC provides a tax credit currently equal to 20% of ‘qualifying research and development expenditure’ made from April 1, 2023 (the rate was previously 13% of qualifying research and development expenditure made from April 1, 2020 to March 31, 2023) by certain companies where certain criteria are met. To the extent a company cannot utilize the RDEC against U.K. corporation tax then certain rules apply that allow the</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RDEC to reduce the tax liability of certain specified taxes, and to the extent it is not possible to utilize the RDEC in full, then the net tax credit is repaid to the company by HMRC. Between January 2023 and March 2023, the U.K. government ran a consultation on the design of a single, simplified R&amp;D tax relief scheme, based on the RDEC scheme, which would merge the existing RDEC and small and medium-sized enterprise R&amp;D relief. The U.K. government is considering the responses and no decision has yet been made. We expect that, if implemented, the new scheme will be in place for expenditures incurred after April 1, 2024.</w:t>
      </w:r>
    </w:p>
    <w:p>
      <w:pPr>
        <w:spacing w:after="0" w:line="18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also benefit from the U.K.’s “patent box” regime, which allows certain profits attributable to revenues from patented products (and other qualifying income) to be taxed at an effective corporation tax rate of 10%.</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however, there are unexpected adverse changes to the RDEC or the “patent box” regime, or for any reason we are unable to qualify for such tax incentives, then our business, results of operations and financial condition may be adversely affected.</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This prospectus contains forward-looking statements that reflect our plans, beliefs, expectations and current views with respect to, among other things, future events and financial performance. The forward-looking statements appear in a number of places in this prospectus, including, but not limited to, the sections titled “Prospectus Summary,” “Risk Factors,” “Management’s Discussion and Analysis of Financial Condition and Results of Operations” and “Business.”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terms or other comparable terminology intended to identify statements about the future. The forward-looking statements and opinions contained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forward-looking statements. Such risks and uncertainties include, but are not limited to:</w:t>
      </w:r>
    </w:p>
    <w:p>
      <w:pPr>
        <w:spacing w:after="0" w:line="92" w:lineRule="exact"/>
        <w:rPr>
          <w:sz w:val="20"/>
          <w:szCs w:val="20"/>
          <w:color w:val="auto"/>
        </w:rPr>
      </w:pPr>
    </w:p>
    <w:p>
      <w:pPr>
        <w:ind w:left="1080" w:right="3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revenues, cost of sales, gross profit, operating expenses and other operating results, as well as our ability to maintain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dependence on the semiconductor and electronics industries and the demand for the products of our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dependence on the compatibility of our products with the manufacturing and design processes of our customers;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reliance on third parties to market and sell chips and end products incorporating our products, as well as add value to our licensed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significant portion of our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new customers and sell additional products to our existing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loss of any of our senior management personnel or one or more key employees or our inability to attract and retain qualified personnel;</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adequately fund our research and development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risks related to the availability of development tools, systems software, EDA tools and operating systems compatible with our architecture;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ability to protect our proprietary products and our brand, and the costs of protecting such IP rights, particularly as a result of litigation;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 and unpredictability of our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verify royalty amounts owed to us under our licensing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foreign exchange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organic growth or growth from strategic investments or acquisitions we make, and the risk of failing to effectively manage our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the slow development of the market for our connectivity, device and data management platform;</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possibility of cyberattacks, breaches of our security controls and unauthorized access to our data or a customer’s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satisfy data protection, security, privacy or other government- and industry-specific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associated with the interests of SoftBank conflicting with the interests of other holders of our ordinary shares and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effects of global general economic conditions, political factors, war or hostility, pandemics and other events outside of our control;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relating to our financial condition and arrangements.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the manner that we anticipate, in any specified time frame, or at all. We undertake no obligation to publicly update any forward-looking statements, whether as a result of new information, future events or otherwise, except as required by law, applicable regulations or the rules of any stock exchange to which we are subject.</w:t>
      </w:r>
    </w:p>
    <w:p>
      <w:pPr>
        <w:spacing w:after="0" w:line="166"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not receive any proceeds from the sale of the ADSs by the selling shareholders (including any proceeds from any sale of ADSs pursuant to the underwriters’ option to purchase additional ADSs from the selling shareholders). All net proceeds from the sale of ADSs in this offering will go to the selling shareholders.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intend to retain any earnings for use in our business and do not currently intend to pay dividends on our ordinary shares or ADSs. The declaration and payment of any future dividends will be at the discretion of our Board of Directors and will depend upon our results of operations, cash requirements, financial condition, contractual restrictions, any future debt agreements or applicable laws and other factors that our board of directors may deem relevant. See the section titled “Risk Factors—Risks Relating to this Offering and Ownership of Our Securities—Because we do not anticipate paying any cash dividends on our ADSs in the foreseeable future, capital appreciation, if any, will be your sole source of gains and you may never receive a return on your investment.”</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Under the laws of England and Wales, among other things, we may only pay dividends if we have sufficient distributable reserves (as determined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320" w:top="459" w:right="5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CORPORATE REORGANIZATION</w:t>
      </w:r>
    </w:p>
    <w:p>
      <w:pPr>
        <w:spacing w:after="0" w:line="229"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On April 9, 2018, Arm Holdings Limited was incorporated as a wholly-owned subsidiary of Arm Limited under the laws of England and Wales with nominal assets and liabilities, contingencies and commitments. After consummating the corporate reorganization described herein, including the re-registration of Arm Holdings Limited as a public limited company, Arm Holdings plc became the ultimate holding company for Arm Limited. Arm Limited in turn was incorporated as a private company with limited liability under the laws of England and Wales on November 12, 1990.</w:t>
      </w:r>
    </w:p>
    <w:p>
      <w:pPr>
        <w:spacing w:after="0" w:line="15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Arm Holdings plc is a holding company which, since formation, has not conducted any operations other than activities incidental to the maintenance of its legal existence, the corporate reorganization and this offering. Investors in this offering will only acquire, and this prospectus only describes the offering of, ADSs representing ordinary shares of Arm Holdings plc. Ordinary shares will not be offered to investors as part of this offering.</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corporate reorganization took place in several steps, all of which were completed prior to the completion of this offering. We refer to these steps, which are discussed below, as our “corporate reorganization.”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the Articles of Association of, and First Reorganization of Share Capital of, Arm Holdings Limited</w:t>
      </w:r>
    </w:p>
    <w:p>
      <w:pPr>
        <w:spacing w:after="0" w:line="12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On , 2023, Arm Holdings Limited amended its articles of association to permit its merger reserve to legally be used to pay up the shares allotted as a bonus issue to the persons contemplated by this corporate reorganization, and to allow the creation of a new class of deferred shares. On</w:t>
      </w:r>
    </w:p>
    <w:p>
      <w:pPr>
        <w:ind w:left="120" w:right="40" w:firstLine="536"/>
        <w:spacing w:after="0" w:line="260" w:lineRule="auto"/>
        <w:tabs>
          <w:tab w:leader="none" w:pos="7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2023, Arm Holdings Limited undertook a reorganization of its share capital to sub-divide its share capital of 100 ordinary shares of £1.00 each into 100,000 ordinary shares of £0.001 each.</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of Ordinary Shares of Arm Holdings Limited by Arm Limited</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On , 2023, Arm Limited distributed 75,010 ordinary shares of £0.001 each in the capital of Arm Holdings Limited to Kronos II LLC, and 24,990 ordinary shares of £0.001 each in the capital of Arm Holdings Limited to SVF HoldCo (UK) Limited. Immediately prior to the distribution, Kronos II LLC and SVF HoldCo (UK) Limited were the shareholders of Arm Limited, and the distribution of shares in Arm Holdings Limited was made in the approximate proportion to the shareholding of Kronos II LLC and SVF HoldCo (UK) Limited in Arm Limited. We refer to the shares of Arm Holdings Limited distributed to each of Kronos II LLC and SVF HoldCo (UK) Limited as the “Dividend Shares.”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Ordinary Shares of Arm Limited for Shares of Arm Holdings Limited</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Following the completion of the distribution of the Dividend Shares, on , 2023, Kronos II LLC transferred its entire shareholding in the capital of Arm Limited, being 769,029,000 ordinary shares of £0.001 each, to Arm Holdings Limited in exchange for receiving 768,953,990 newly issued ordinary shares of £0.001 each in the capital of Arm Holdings Limited, and SVF HoldCo (UK) Limited transferred its entire shareholding in the capital of Arm Limited, being 256,205,000 ordinary shares of £0.001 each, to Arm Holdings Limited in exchange for receiving 256,180,010 newly issued ordinary shares of £0.001 each in the capital of Arm Holdings Limited. We refer to this as the “Share Exchange.” Following the Share Exchange, the former holders of shares in Arm Limited held shares in Arm Holdings Limited of the same class and in the same proportions as their previous shareholding in Arm Limited. Arm Limited became a wholly-owned subsidiary of Arm Holdings Limited as a result of the Share Exchange.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First Bonus Issue of Arm Holdings Limited</w:t>
      </w:r>
    </w:p>
    <w:p>
      <w:pPr>
        <w:spacing w:after="0" w:line="121" w:lineRule="exact"/>
        <w:rPr>
          <w:sz w:val="20"/>
          <w:szCs w:val="20"/>
          <w:color w:val="auto"/>
        </w:rPr>
      </w:pPr>
    </w:p>
    <w:p>
      <w:pPr>
        <w:ind w:left="560"/>
        <w:spacing w:after="0"/>
        <w:tabs>
          <w:tab w:leader="none" w:pos="4920" w:val="left"/>
        </w:tabs>
        <w:rPr>
          <w:sz w:val="20"/>
          <w:szCs w:val="20"/>
          <w:color w:val="auto"/>
        </w:rPr>
      </w:pPr>
      <w:r>
        <w:rPr>
          <w:rFonts w:ascii="Arial" w:cs="Arial" w:eastAsia="Arial" w:hAnsi="Arial"/>
          <w:sz w:val="18"/>
          <w:szCs w:val="18"/>
          <w:color w:val="auto"/>
        </w:rPr>
        <w:t>Following the completion of the Share Exchange, on</w:t>
      </w:r>
      <w:r>
        <w:rPr>
          <w:sz w:val="20"/>
          <w:szCs w:val="20"/>
          <w:color w:val="auto"/>
        </w:rPr>
        <w:tab/>
      </w:r>
      <w:r>
        <w:rPr>
          <w:rFonts w:ascii="Arial" w:cs="Arial" w:eastAsia="Arial" w:hAnsi="Arial"/>
          <w:sz w:val="16"/>
          <w:szCs w:val="16"/>
          <w:color w:val="auto"/>
        </w:rPr>
        <w:t>, 2023, Arm Holdings Limited capitalized a portion of the amount standing to the</w:t>
      </w:r>
    </w:p>
    <w:p>
      <w:pPr>
        <w:spacing w:after="0" w:line="23"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credit of its merger reserve and applied such sums in paying up in full new ordinary shares to its shareholders, which we refer to as the “First Bonus Issue.” The First Bonus Issue was</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9" w:right="5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490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8580" w:type="dxa"/>
            <w:vAlign w:val="bottom"/>
            <w:gridSpan w:val="2"/>
          </w:tcPr>
          <w:p>
            <w:pPr>
              <w:jc w:val="center"/>
              <w:ind w:right="2090"/>
              <w:spacing w:after="0"/>
              <w:rPr>
                <w:sz w:val="20"/>
                <w:szCs w:val="20"/>
                <w:color w:val="auto"/>
              </w:rPr>
            </w:pPr>
            <w:r>
              <w:rPr>
                <w:rFonts w:ascii="Arial" w:cs="Arial" w:eastAsia="Arial" w:hAnsi="Arial"/>
                <w:sz w:val="18"/>
                <w:szCs w:val="18"/>
                <w:b w:val="1"/>
                <w:bCs w:val="1"/>
                <w:color w:val="auto"/>
                <w:w w:val="91"/>
              </w:rPr>
              <w:t>Confidential Treatment Requested by Arm Holdings Limited</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9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Pursuant to 17 C.F.R. Section 200.83</w:t>
            </w:r>
          </w:p>
        </w:tc>
        <w:tc>
          <w:tcPr>
            <w:tcW w:w="3680" w:type="dxa"/>
            <w:vAlign w:val="bottom"/>
          </w:tcPr>
          <w:p>
            <w:pPr>
              <w:spacing w:after="0"/>
              <w:rPr>
                <w:sz w:val="20"/>
                <w:szCs w:val="20"/>
                <w:color w:val="auto"/>
              </w:rPr>
            </w:pPr>
          </w:p>
        </w:tc>
      </w:tr>
      <w:tr>
        <w:trPr>
          <w:trHeight w:val="364"/>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effected by the issuance of</w:t>
            </w:r>
          </w:p>
        </w:tc>
        <w:tc>
          <w:tcPr>
            <w:tcW w:w="4900" w:type="dxa"/>
            <w:vAlign w:val="bottom"/>
          </w:tcPr>
          <w:p>
            <w:pPr>
              <w:ind w:left="380"/>
              <w:spacing w:after="0"/>
              <w:rPr>
                <w:sz w:val="20"/>
                <w:szCs w:val="20"/>
                <w:color w:val="auto"/>
              </w:rPr>
            </w:pPr>
            <w:r>
              <w:rPr>
                <w:rFonts w:ascii="Arial" w:cs="Arial" w:eastAsia="Arial" w:hAnsi="Arial"/>
                <w:sz w:val="18"/>
                <w:szCs w:val="18"/>
                <w:color w:val="auto"/>
              </w:rPr>
              <w:t>ordinary shares of £0.001 each to Kronos II LLC and</w:t>
            </w:r>
          </w:p>
        </w:tc>
        <w:tc>
          <w:tcPr>
            <w:tcW w:w="3680" w:type="dxa"/>
            <w:vAlign w:val="bottom"/>
          </w:tcPr>
          <w:p>
            <w:pPr>
              <w:ind w:left="300"/>
              <w:spacing w:after="0"/>
              <w:rPr>
                <w:sz w:val="20"/>
                <w:szCs w:val="20"/>
                <w:color w:val="auto"/>
              </w:rPr>
            </w:pPr>
            <w:r>
              <w:rPr>
                <w:rFonts w:ascii="Arial" w:cs="Arial" w:eastAsia="Arial" w:hAnsi="Arial"/>
                <w:sz w:val="18"/>
                <w:szCs w:val="18"/>
                <w:color w:val="auto"/>
                <w:w w:val="90"/>
              </w:rPr>
              <w:t>ordinary shares of £0.001 each to SVF HoldCo</w:t>
            </w:r>
          </w:p>
        </w:tc>
      </w:tr>
    </w:tbl>
    <w:p>
      <w:pPr>
        <w:ind w:left="120" w:right="8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(UK) Limited, in proportion to their shareholding in Arm Holdings Limited. We refer to the shares issued pursuant to the First Bonus Issue as the “First Bonus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Reduction of Capital of Arm Holdings Limited</w:t>
      </w:r>
    </w:p>
    <w:p>
      <w:pPr>
        <w:spacing w:after="0" w:line="121" w:lineRule="exact"/>
        <w:rPr>
          <w:sz w:val="20"/>
          <w:szCs w:val="20"/>
          <w:color w:val="auto"/>
        </w:rPr>
      </w:pPr>
    </w:p>
    <w:p>
      <w:pPr>
        <w:ind w:left="560"/>
        <w:spacing w:after="0"/>
        <w:tabs>
          <w:tab w:leader="none" w:pos="3960" w:val="left"/>
        </w:tabs>
        <w:rPr>
          <w:sz w:val="20"/>
          <w:szCs w:val="20"/>
          <w:color w:val="auto"/>
        </w:rPr>
      </w:pPr>
      <w:r>
        <w:rPr>
          <w:rFonts w:ascii="Arial" w:cs="Arial" w:eastAsia="Arial" w:hAnsi="Arial"/>
          <w:sz w:val="18"/>
          <w:szCs w:val="18"/>
          <w:color w:val="auto"/>
        </w:rPr>
        <w:t>Subsequent to the First Bonus Issue, on</w:t>
      </w:r>
      <w:r>
        <w:rPr>
          <w:sz w:val="20"/>
          <w:szCs w:val="20"/>
          <w:color w:val="auto"/>
        </w:rPr>
        <w:tab/>
      </w:r>
      <w:r>
        <w:rPr>
          <w:rFonts w:ascii="Arial" w:cs="Arial" w:eastAsia="Arial" w:hAnsi="Arial"/>
          <w:sz w:val="16"/>
          <w:szCs w:val="16"/>
          <w:color w:val="auto"/>
        </w:rPr>
        <w:t>, 2023, Arm Holdings Limited reduced its share capital by way of the cancellation of all of the</w:t>
      </w:r>
    </w:p>
    <w:p>
      <w:pPr>
        <w:spacing w:after="0" w:line="23" w:lineRule="exact"/>
        <w:rPr>
          <w:sz w:val="20"/>
          <w:szCs w:val="20"/>
          <w:color w:val="auto"/>
        </w:rPr>
      </w:pPr>
    </w:p>
    <w:p>
      <w:pPr>
        <w:ind w:left="120" w:right="300"/>
        <w:spacing w:after="0" w:line="302" w:lineRule="auto"/>
        <w:rPr>
          <w:sz w:val="20"/>
          <w:szCs w:val="20"/>
          <w:color w:val="auto"/>
        </w:rPr>
      </w:pPr>
      <w:r>
        <w:rPr>
          <w:rFonts w:ascii="Arial" w:cs="Arial" w:eastAsia="Arial" w:hAnsi="Arial"/>
          <w:sz w:val="16"/>
          <w:szCs w:val="16"/>
          <w:color w:val="auto"/>
        </w:rPr>
        <w:t>First Bonus Shares pursuant to Part 17 of the Companies Act in order to create distributable reserves, which we refer to as the “Capital Reduction.” Immediately after the Capital Reduction, Kronos II LLC and SVF HoldCo (UK) Limited held 769,029,000 ordinary shares of £0.001 each and 256,205,000 ordinary shares of £0.001 each, respectively, in the capital of Arm Holdings Limited, which we refer to as the “Post-Reduction Shares.”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Bonus Issue of Arm Holdings Limited</w:t>
      </w:r>
    </w:p>
    <w:p>
      <w:pPr>
        <w:spacing w:after="0" w:line="121" w:lineRule="exact"/>
        <w:rPr>
          <w:sz w:val="20"/>
          <w:szCs w:val="20"/>
          <w:color w:val="auto"/>
        </w:rPr>
      </w:pPr>
    </w:p>
    <w:p>
      <w:pPr>
        <w:ind w:left="560"/>
        <w:spacing w:after="0"/>
        <w:tabs>
          <w:tab w:leader="none" w:pos="5060" w:val="left"/>
        </w:tabs>
        <w:rPr>
          <w:sz w:val="20"/>
          <w:szCs w:val="20"/>
          <w:color w:val="auto"/>
        </w:rPr>
      </w:pPr>
      <w:r>
        <w:rPr>
          <w:rFonts w:ascii="Arial" w:cs="Arial" w:eastAsia="Arial" w:hAnsi="Arial"/>
          <w:sz w:val="18"/>
          <w:szCs w:val="18"/>
          <w:color w:val="auto"/>
        </w:rPr>
        <w:t>Following the completion of the Capital Reduction, on</w:t>
      </w:r>
      <w:r>
        <w:rPr>
          <w:sz w:val="20"/>
          <w:szCs w:val="20"/>
          <w:color w:val="auto"/>
        </w:rPr>
        <w:tab/>
      </w:r>
      <w:r>
        <w:rPr>
          <w:rFonts w:ascii="Arial" w:cs="Arial" w:eastAsia="Arial" w:hAnsi="Arial"/>
          <w:sz w:val="16"/>
          <w:szCs w:val="16"/>
          <w:color w:val="auto"/>
        </w:rPr>
        <w:t>, 2023, Arm Holdings Limited capitalized the remaining amount standing to the</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credit of its merger reserve and applied such sums in paying up in full new ordinary shares, which we refer to as the “Second Bonus Issue.” The Second Bonus Issue was effected by the issuance of 769,029,000 ordinary shares of £0.001 each to National City Nominees Limited as the nominee for Citibank, N.A. – London Branch pursuant to the direction of Kronos II LLC, and 256,205,000 ordinary shares of £0.001 each to National City Nominees Limited as the nominee for Citibank, N.A. – London Branch pursuant to the direction of SVF HoldCo (UK) Limited, in proportion to the shareholding of Kronos II LLC and SVF HoldCo (UK) Limited in Arm Holdings Limited.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Reorganization of Share Capital of Arm Holdings Limited</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Subsequent to the completion of the Second Bonus Issue, on , 2023, Arm Holdings Limited undertook a second reorganization of its share capital to re-designate all of the Post-Reduction Shares as deferred shares of £0.001 each on a one-for-one basis. On , 2023, Arm Holdings Limited repurchased these deferred shares for nominal consideration and cancelled such deferred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Re-registration of Arm Holdings Limited as a Public Limited Company</w:t>
      </w:r>
    </w:p>
    <w:p>
      <w:pPr>
        <w:sectPr>
          <w:pgSz w:w="11900" w:h="16838" w:orient="portrait"/>
          <w:cols w:equalWidth="0" w:num="1">
            <w:col w:w="11120"/>
          </w:cols>
          <w:pgMar w:left="320" w:top="446" w:right="459" w:bottom="1440" w:gutter="0" w:footer="0" w:header="0"/>
        </w:sectPr>
      </w:pP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Following the completion of the second reorganization of share capital described above, on a public limited company and changed its name from Arm Holdings Limited to Arm Holdings plc.</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2023, Arm Holdings Limited re-registered as</w:t>
      </w:r>
    </w:p>
    <w:p>
      <w:pPr>
        <w:spacing w:after="0" w:line="464" w:lineRule="exact"/>
        <w:rPr>
          <w:sz w:val="20"/>
          <w:szCs w:val="20"/>
          <w:color w:val="auto"/>
        </w:rPr>
      </w:pPr>
    </w:p>
    <w:p>
      <w:pPr>
        <w:sectPr>
          <w:pgSz w:w="11900" w:h="16838" w:orient="portrait"/>
          <w:cols w:equalWidth="0" w:num="2">
            <w:col w:w="7220" w:space="480"/>
            <w:col w:w="3420"/>
          </w:cols>
          <w:pgMar w:left="320" w:top="446" w:right="459" w:bottom="1440" w:gutter="0" w:footer="0" w:header="0"/>
          <w:type w:val="continuous"/>
        </w:sectPr>
      </w:pPr>
    </w:p>
    <w:p>
      <w:pPr>
        <w:ind w:left="120" w:right="380" w:firstLine="440"/>
        <w:spacing w:after="0" w:line="342" w:lineRule="auto"/>
        <w:rPr>
          <w:sz w:val="20"/>
          <w:szCs w:val="20"/>
          <w:color w:val="auto"/>
        </w:rPr>
      </w:pPr>
      <w:r>
        <w:rPr>
          <w:rFonts w:ascii="Arial" w:cs="Arial" w:eastAsia="Arial" w:hAnsi="Arial"/>
          <w:sz w:val="16"/>
          <w:szCs w:val="16"/>
          <w:color w:val="auto"/>
        </w:rPr>
        <w:t>Certain special resolutions passed by the shareholders of Arm Holdings Limited approved the re-registration as a public limited company, the name change to Arm Holdings plc and the adoption of new articles of association for Arm Holdings plc appropriate for a public company.</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46" w:right="4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CAPITALIZATION</w:t>
      </w:r>
    </w:p>
    <w:p>
      <w:pPr>
        <w:sectPr>
          <w:pgSz w:w="11900" w:h="16838" w:orient="portrait"/>
          <w:cols w:equalWidth="0" w:num="1">
            <w:col w:w="10920"/>
          </w:cols>
          <w:pgMar w:left="320" w:top="459" w:right="659" w:bottom="1440" w:gutter="0" w:footer="0" w:header="0"/>
        </w:sectPr>
      </w:pP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our cash and cash equivalents and capitalization as of included elsewhere in this prospectus.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2023 derived from our audited financial statements</w:t>
      </w:r>
    </w:p>
    <w:p>
      <w:pPr>
        <w:spacing w:after="0" w:line="463" w:lineRule="exact"/>
        <w:rPr>
          <w:sz w:val="20"/>
          <w:szCs w:val="20"/>
          <w:color w:val="auto"/>
        </w:rPr>
      </w:pPr>
    </w:p>
    <w:p>
      <w:pPr>
        <w:sectPr>
          <w:pgSz w:w="11900" w:h="16838" w:orient="portrait"/>
          <w:cols w:equalWidth="0" w:num="2">
            <w:col w:w="6580" w:space="580"/>
            <w:col w:w="3760"/>
          </w:cols>
          <w:pgMar w:left="320" w:top="459" w:right="659" w:bottom="1440" w:gutter="0" w:footer="0" w:header="0"/>
          <w:type w:val="continuous"/>
        </w:sectPr>
      </w:pPr>
    </w:p>
    <w:p>
      <w:pPr>
        <w:ind w:left="120" w:firstLine="440"/>
        <w:spacing w:after="0" w:line="263" w:lineRule="auto"/>
        <w:rPr>
          <w:sz w:val="20"/>
          <w:szCs w:val="20"/>
          <w:color w:val="auto"/>
        </w:rPr>
      </w:pPr>
      <w:r>
        <w:rPr>
          <w:rFonts w:ascii="Arial" w:cs="Arial" w:eastAsia="Arial" w:hAnsi="Arial"/>
          <w:sz w:val="18"/>
          <w:szCs w:val="18"/>
          <w:color w:val="auto"/>
        </w:rPr>
        <w:t>You should read this information together with our audited financial statements and related notes appearing elsewhere in this prospectus and the information set forth under the sections titled “Presentation of Financial and Other Information” and “Management’s Discussion and Analysis of Financial Condition and Results of Operations.”</w:t>
      </w:r>
    </w:p>
    <w:p>
      <w:pPr>
        <w:spacing w:after="0" w:line="206" w:lineRule="exact"/>
        <w:rPr>
          <w:sz w:val="20"/>
          <w:szCs w:val="20"/>
          <w:color w:val="auto"/>
        </w:rPr>
      </w:pPr>
    </w:p>
    <w:tbl>
      <w:tblPr>
        <w:tblLayout w:type="fixed"/>
        <w:tblInd w:w="8900" w:type="dxa"/>
        <w:tblCellMar>
          <w:top w:w="0" w:type="dxa"/>
          <w:left w:w="0" w:type="dxa"/>
          <w:bottom w:w="0" w:type="dxa"/>
          <w:right w:w="0" w:type="dxa"/>
        </w:tblCellMar>
      </w:tblPr>
      <w:tr>
        <w:trPr>
          <w:trHeight w:val="174"/>
        </w:trPr>
        <w:tc>
          <w:tcPr>
            <w:tcW w:w="560" w:type="dxa"/>
            <w:vAlign w:val="bottom"/>
          </w:tcPr>
          <w:p>
            <w:pPr>
              <w:spacing w:after="0"/>
              <w:rPr>
                <w:sz w:val="20"/>
                <w:szCs w:val="20"/>
                <w:color w:val="auto"/>
              </w:rPr>
            </w:pPr>
            <w:r>
              <w:rPr>
                <w:rFonts w:ascii="Arial" w:cs="Arial" w:eastAsia="Arial" w:hAnsi="Arial"/>
                <w:sz w:val="14"/>
                <w:szCs w:val="14"/>
                <w:color w:val="auto"/>
              </w:rPr>
              <w:t>As of</w:t>
            </w:r>
          </w:p>
        </w:tc>
        <w:tc>
          <w:tcPr>
            <w:tcW w:w="580" w:type="dxa"/>
            <w:vAlign w:val="bottom"/>
          </w:tcPr>
          <w:p>
            <w:pPr>
              <w:jc w:val="right"/>
              <w:spacing w:after="0"/>
              <w:rPr>
                <w:sz w:val="20"/>
                <w:szCs w:val="20"/>
                <w:color w:val="auto"/>
              </w:rPr>
            </w:pPr>
            <w:r>
              <w:rPr>
                <w:rFonts w:ascii="Arial" w:cs="Arial" w:eastAsia="Arial" w:hAnsi="Arial"/>
                <w:sz w:val="14"/>
                <w:szCs w:val="14"/>
                <w:color w:val="auto"/>
              </w:rPr>
              <w: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-3810</wp:posOffset>
            </wp:positionV>
            <wp:extent cx="9086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jc w:val="center"/>
        <w:ind w:left="7700"/>
        <w:spacing w:after="0" w:line="221" w:lineRule="auto"/>
        <w:rPr>
          <w:sz w:val="20"/>
          <w:szCs w:val="20"/>
          <w:color w:val="auto"/>
        </w:rPr>
      </w:pPr>
      <w:r>
        <w:rPr>
          <w:rFonts w:ascii="Arial" w:cs="Arial" w:eastAsia="Arial" w:hAnsi="Arial"/>
          <w:sz w:val="14"/>
          <w:szCs w:val="14"/>
          <w:color w:val="auto"/>
        </w:rPr>
        <w:t>(in thousands except</w:t>
      </w:r>
    </w:p>
    <w:p>
      <w:pPr>
        <w:jc w:val="center"/>
        <w:ind w:left="7700"/>
        <w:spacing w:after="0" w:line="234" w:lineRule="auto"/>
        <w:rPr>
          <w:sz w:val="20"/>
          <w:szCs w:val="20"/>
          <w:color w:val="auto"/>
        </w:rPr>
      </w:pPr>
      <w:r>
        <w:rPr>
          <w:rFonts w:ascii="Arial" w:cs="Arial" w:eastAsia="Arial" w:hAnsi="Arial"/>
          <w:sz w:val="14"/>
          <w:szCs w:val="14"/>
          <w:color w:val="auto"/>
        </w:rPr>
        <w:t>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tabs>
          <w:tab w:leader="none" w:pos="874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4445</wp:posOffset>
            </wp:positionV>
            <wp:extent cx="9086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21590</wp:posOffset>
            </wp:positionV>
            <wp:extent cx="9086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Equity attributable to 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587184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Share capital</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Share premium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Share based payments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Capital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Translation reserve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Retained earnings</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223"/>
        </w:trPr>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4740" w:type="dxa"/>
            <w:vAlign w:val="bottom"/>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Total capitalization</w:t>
            </w:r>
          </w:p>
        </w:tc>
        <w:tc>
          <w:tcPr>
            <w:tcW w:w="4740" w:type="dxa"/>
            <w:vAlign w:val="bottom"/>
          </w:tcPr>
          <w:p>
            <w:pPr>
              <w:spacing w:after="0"/>
              <w:rPr>
                <w:sz w:val="19"/>
                <w:szCs w:val="19"/>
                <w:color w:val="auto"/>
              </w:rPr>
            </w:pP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740" w:type="dxa"/>
            <w:vAlign w:val="bottom"/>
            <w:vMerge w:val="restart"/>
          </w:tcPr>
          <w:p>
            <w:pPr>
              <w:jc w:val="right"/>
              <w:ind w:right="2850"/>
              <w:spacing w:after="0"/>
              <w:rPr>
                <w:sz w:val="20"/>
                <w:szCs w:val="20"/>
                <w:color w:val="auto"/>
              </w:rPr>
            </w:pPr>
            <w:r>
              <w:rPr>
                <w:rFonts w:ascii="Arial" w:cs="Arial" w:eastAsia="Arial" w:hAnsi="Arial"/>
                <w:sz w:val="18"/>
                <w:szCs w:val="18"/>
                <w:color w:val="auto"/>
              </w:rPr>
              <w:t>75</w:t>
            </w: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prospectus.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“Risk Factors” and “Special Note Regarding Forward-Looking Statements” sections in this prospectus. Our actual results could differ materially from the results described in or implied by these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Arm architects, develops, and licenses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as of January 2023, and more than 250 billion chips, cumulatively, powering everything from the tiniest of sensors to the most powerful supercomputers.</w:t>
      </w:r>
    </w:p>
    <w:p>
      <w:pPr>
        <w:spacing w:after="0" w:line="18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We enable any company to make a modern computer chip through the unique combination of our energy-efficient CPU IP and related technologies and our unmatched ecosystem of technology partners. 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Beyond our product offerings, our development tools and robust software ecosystem have further solidified our position as the world’s most widely adopted processor architecture. Our partners include leading semiconductor technology suppliers (including foundries and EDA vendors), firmware and operating system vendors, game engine vendors, software tool providers and application software developers. 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8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The exponential rise in smart devices in both consumer and enterprise markets has increased the demand for chips that provide more computational capability while optimizing for power efficiency. This trend has driven the dramatic growth of Arm CPUs over the past several years. The scale of our reach continues to expand, with more than 30 billion Arm-based chips reported as shipped in the fiscal year ended March 31, 2023 alone.</w:t>
      </w:r>
    </w:p>
    <w:p>
      <w:pPr>
        <w:spacing w:after="0" w:line="19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have enabled the mobile phone and smartphone revolution and our creation of the Arm CPU architecture, the world’s most widely used CPU architecture, has resulted in the proliferation and evolution of computers as people know them today. Through our focus on energy efficiency and our history of continuous innovation, we have enabled new categories of “smart” consumer electronics, and we are redefining what is possible in industries such as cloud computing, automotive, and IoT. As a result, in the fiscal year ended March 31, 2023, more than 260 companies had shipped Arm-based chips, and we estimate that approximately 70% of the world’s population uses Arm-based products.</w:t>
      </w:r>
    </w:p>
    <w:p>
      <w:pPr>
        <w:spacing w:after="0" w:line="17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long-standing, significant market share in high-value markets, such as mobile applications processors, which enables us to invest in other growth opportunities. Our long-term growth strategy includes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expanding our market share in growth markets, including cloud server, networking equipment, automotive and consumer electronics. We believe that the increasing need for high-powered and energy-efficient computing, as well as our continued investments, will enable us to grow our share in these segments. We also intend to expand our system IP and platform product offerings by continuing to develop a broader set of systems IP specifically developed for use with Arm processors. Across all our end markets and products, we believe that, as chip designs become more advanced and complex, our investments in additional functionality, higher performance, higher efficiency, and more specialized designs will allow us to deliver more value to our partners.</w:t>
      </w:r>
    </w:p>
    <w:p>
      <w:pPr>
        <w:spacing w:after="0" w:line="19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We have achieved significant growth since our inception. For our fiscal years ended March 31, 2022 and 2021, our total revenues were</w:t>
      </w:r>
    </w:p>
    <w:p>
      <w:pPr>
        <w:spacing w:after="0" w:line="23"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$2,703 million and $2,027 million, respectively. Over that same period, net income from continuing operations was $676 million and $544 million,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products through an agreement best suited to their particular business needs. Our licensing and royalty business model includes:</w:t>
      </w:r>
    </w:p>
    <w:p>
      <w:pPr>
        <w:spacing w:after="0" w:line="67" w:lineRule="exact"/>
        <w:rPr>
          <w:sz w:val="20"/>
          <w:szCs w:val="20"/>
          <w:color w:val="auto"/>
        </w:rPr>
      </w:pPr>
    </w:p>
    <w:p>
      <w:pPr>
        <w:ind w:left="1080" w:right="200" w:hanging="424"/>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Arm Total Access (ATA) Agreements</w:t>
      </w:r>
      <w:r>
        <w:rPr>
          <w:rFonts w:ascii="Arial" w:cs="Arial" w:eastAsia="Arial" w:hAnsi="Arial"/>
          <w:sz w:val="18"/>
          <w:szCs w:val="18"/>
          <w:color w:val="auto"/>
        </w:rPr>
        <w:t>: Under an ATA agreement, we license a portfolio of CPU designs and related technologies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in return for an annual fee determined at execution of the agreement. We retain the right, from time-to-time, to add or remove specific products from the package. The agreement is for a fixed term and may limit the number of concurrent chip designs that may use products from the package.</w:t>
      </w:r>
    </w:p>
    <w:p>
      <w:pPr>
        <w:spacing w:after="0" w:line="92" w:lineRule="exact"/>
        <w:rPr>
          <w:rFonts w:ascii="Arial" w:cs="Arial" w:eastAsia="Arial" w:hAnsi="Arial"/>
          <w:sz w:val="18"/>
          <w:szCs w:val="18"/>
          <w:color w:val="auto"/>
        </w:rPr>
      </w:pPr>
    </w:p>
    <w:p>
      <w:pPr>
        <w:ind w:left="1080" w:right="160" w:hanging="424"/>
        <w:spacing w:after="0" w:line="273"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Arm Flexible Access (AFA) Agreements</w:t>
      </w:r>
      <w:r>
        <w:rPr>
          <w:rFonts w:ascii="Arial" w:cs="Arial" w:eastAsia="Arial" w:hAnsi="Arial"/>
          <w:sz w:val="17"/>
          <w:szCs w:val="17"/>
          <w:color w:val="auto"/>
        </w:rPr>
        <w:t>: Under an AFA agreement, we license a portfolio of CPU designs and related technologies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in return for an annual fee determined at execution of the agreement. Unlike an ATA license, the package of products licensed pursuant to an AFA agreement will not contain our latest products. Although customers are free to experiment with products contained in the AFA package, they must pay a per-use license fee for specific products if they include Arm products in a final chip design “tape out,” when the final result of a semiconductor chip design is sent for manufacturing. As with an ATA agreement, we retain the right, from time-to-time, to add or remove specific products from the package.</w:t>
      </w:r>
    </w:p>
    <w:p>
      <w:pPr>
        <w:spacing w:after="0" w:line="83" w:lineRule="exact"/>
        <w:rPr>
          <w:rFonts w:ascii="Arial" w:cs="Arial" w:eastAsia="Arial" w:hAnsi="Arial"/>
          <w:sz w:val="17"/>
          <w:szCs w:val="17"/>
          <w:color w:val="auto"/>
        </w:rPr>
      </w:pPr>
    </w:p>
    <w:p>
      <w:pPr>
        <w:ind w:left="1080" w:right="120" w:hanging="424"/>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Licensing Agreements (TLA)</w:t>
      </w:r>
      <w:r>
        <w:rPr>
          <w:rFonts w:ascii="Arial" w:cs="Arial" w:eastAsia="Arial" w:hAnsi="Arial"/>
          <w:sz w:val="18"/>
          <w:szCs w:val="18"/>
          <w:color w:val="auto"/>
        </w:rPr>
        <w:t>: Under a TLA, we license a single CPU design or other technology design to a customer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 for a fixed license fee. The license may be limited by term (</w:t>
      </w:r>
      <w:r>
        <w:rPr>
          <w:rFonts w:ascii="Arial" w:cs="Arial" w:eastAsia="Arial" w:hAnsi="Arial"/>
          <w:sz w:val="18"/>
          <w:szCs w:val="18"/>
          <w:i w:val="1"/>
          <w:iCs w:val="1"/>
          <w:color w:val="auto"/>
        </w:rPr>
        <w:t>i.e.,</w:t>
      </w:r>
      <w:r>
        <w:rPr>
          <w:rFonts w:ascii="Arial" w:cs="Arial" w:eastAsia="Arial" w:hAnsi="Arial"/>
          <w:sz w:val="18"/>
          <w:szCs w:val="18"/>
          <w:color w:val="auto"/>
        </w:rPr>
        <w:t xml:space="preserve"> the number of years during which the licensee is entitled to incorporate our products in new chip designs, but licensees typically have the right to manufacture designs perpetually) and/or by number of uses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number of concurrent chip designs that may use our products).</w:t>
      </w:r>
    </w:p>
    <w:p>
      <w:pPr>
        <w:spacing w:after="0" w:line="92" w:lineRule="exact"/>
        <w:rPr>
          <w:rFonts w:ascii="Arial" w:cs="Arial" w:eastAsia="Arial" w:hAnsi="Arial"/>
          <w:sz w:val="18"/>
          <w:szCs w:val="18"/>
          <w:color w:val="auto"/>
        </w:rPr>
      </w:pPr>
    </w:p>
    <w:p>
      <w:pPr>
        <w:ind w:left="1080" w:right="280" w:hanging="424"/>
        <w:spacing w:after="0" w:line="279"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Architecture License Agreements (ALA)</w:t>
      </w:r>
      <w:r>
        <w:rPr>
          <w:rFonts w:ascii="Arial" w:cs="Arial" w:eastAsia="Arial" w:hAnsi="Arial"/>
          <w:sz w:val="17"/>
          <w:szCs w:val="17"/>
          <w:color w:val="auto"/>
        </w:rPr>
        <w:t>: Under an ALA, the licensee is allowed to develop their own highly customized CPU designs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is compliant with the Arm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spacing w:after="0" w:line="76" w:lineRule="exact"/>
        <w:rPr>
          <w:rFonts w:ascii="Arial" w:cs="Arial" w:eastAsia="Arial" w:hAnsi="Arial"/>
          <w:sz w:val="17"/>
          <w:szCs w:val="17"/>
          <w:color w:val="auto"/>
        </w:rPr>
      </w:pPr>
    </w:p>
    <w:p>
      <w:pPr>
        <w:ind w:left="1080" w:right="140" w:hanging="424"/>
        <w:spacing w:after="0" w:line="30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Royalty Fees: </w:t>
      </w:r>
      <w:r>
        <w:rPr>
          <w:rFonts w:ascii="Arial" w:cs="Arial" w:eastAsia="Arial" w:hAnsi="Arial"/>
          <w:sz w:val="16"/>
          <w:szCs w:val="16"/>
          <w:color w:val="auto"/>
        </w:rPr>
        <w:t>We generate the majority of our revenue from customers who enter into license agreements, pursuant to which we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royalty fees based on net sale price of the customer’s Arm-based chip or a fixed fee per chip. Royalty revenues are impacted primarily by the adoption of our products by the licensee as well as other factors, such as product lifecycles, customer’s business performance, market trends and global supply constraints. In the fiscal year ended March 31, 2022, royalty revenue represented 58% of our total revenue.</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Historically, most customers licensed our products under the terms of a TLA. In 2019 and 2021, we introduced the AFA and ATA agreements, respectively, to enable the widest range of customers to access our products through methods best suited to their particular business needs. We believe that the ATA and AFA agreements provide enhanced flexibility for our customers (as compared to the TLA business model) and increase the number of chip designs using our products. While certain customers will elect to remain TLA customers, some customers are in the process of transitioning from TLAs to ATA and AFA agreements. We may experience variability in license revenues due to the timing of product deliveries within each TLA, ATA and AFA agreement. However, because ATA and AFA agreements are renewable in nature, as customers transition away from TLAs, we expect our visibility into future license revenues to improve.</w:t>
      </w:r>
    </w:p>
    <w:p>
      <w:pPr>
        <w:spacing w:after="0" w:line="17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typically are able to command a royalty for chips that contain our products, which creates a long-term recurring revenue opportunity from each design win. We typically see sustained revenue streams from older chips, as products containing those chips continue to be sold and older processors are incorporated into new chips, creating a cumulative effect that fuels long-term growth. For example, based on royalty revenue information provided to us by customers in quarterly royalty reports, approximately 46% of our royalty revenue for the fiscal year ended March 31, 2023 came from products released between 1990 to 2012. Additionally, as we transition to more ATA and AFA licenses, we expect more of our products to be incorporated into more of our customers’ chip designs, and our royalty revenue to increase over time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139065</wp:posOffset>
            </wp:positionV>
            <wp:extent cx="5203190" cy="23742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0319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and Trends Affecting Our Operating Results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in the section titled “Risk Factors” and elsewhere in this prospectus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Demand for Semiconductor Products and Cyclical Nature of the Semiconductor Industry</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Semiconductor chips are essential components in consumer, enterprise, and automotive electronics, which has resulted in sustained and increasing long-term demand for semiconductor chips, a significant percentage of which contain our products. Our license and royalty revenues are, in part, affected by market conditions in the semiconductor industry, which is cyclical by nature and impacted by broad economic factors, such as worldwide</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 efficient devices.</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Share Across End Markets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We believe that we have a greater than 99% share of the smartphones market and a very high share in a range of other electronic devices, from digital TVs to drones. As new high-growth markets for electronics emerge and incorporate more AI and ML workloads, they require our more advanced processor designs in areas such as cloud computing, the automotive industry, and the IoT economy. Our operating and financial performance is dependent, in large part, upon maintaining our market share in the smartphone and consumer electronics markets and maintaining or growing market share in our other target markets.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Ability to Provide Our Customers with More Value Per Chip</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believe our ability to continue to develop more advanced products and offer increasingly comprehensive product packages will encourage greater use of our products by existing and prospective customers. For example, some licensees may combine multiple different Arm CPUs in a single chip, Arm CPUs with other Arm IP such as Arm GPUs, or deploy Arm CPU implementations with more than 100 cores. For chips where our products have provided more value, we will typically receive a higher royalty rate per 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Increasing Design Wins with Existing and Prospective Customers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in the past and will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R&amp;D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 market penetration. Our licensing options provide greater flexibility to our customers and maximize our opportunities to secure more design wins for our products, which results in greater opportunities to increase our recurring royalty revenue.</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of Arm China</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depend on our commercial relationship with Arm China to access the PRC market, and a significant portion of our total revenue is generated from Arm China, a related party. Arm China has the right to sublicense our processor technology pursuant to the IPLA. Our responsibility under the IPLA is to facilitate delivery of our processor technology to Arm China’s end customers in accordance with detailed instructions and other specifications from Arm China. For additional information regarding the IPLA, see “Business—The IPLA with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Royalties in our financial statements. Despite our significant reliance on Arm China through our commercial relationship with them,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financial information. Additionally, political actions, including trade and national security policies of the U.S. and PRC governments, such as tariffs, placing companies on restricted lists, or new end 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Developments in Export Control Regulations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October 2022, the BIS of the U.S. Department of Commerce published changes to U.S. export control regulations that restrict the PRC’s semiconductor and supercomputing industries’ ability to obtain advanced computing chips, as well as software, hardware, equipment, and technology used to develop and maintain supercomputers and manufacture advanced semiconductors. We have been impacted by the implementation in October 2022 of rules by the BIS, which principally relate to (i) implementing new process requirements that require licensees to disclose semiconductor manufacturing facilities used for manufacturing Arm-based integrated circuit designs; and (ii) controlling previously non-controlled Arm interconnect IP as well as releasing a modified version of such IP that does not exceed the BIS performance thresholds for the PRC. We anticipate additional changes to U.S. export control regulations in the future, but we cannot forecast the scope or timing of such changes. We will continue to monitor such developments, including potential additional trade restrictions, and other regulatory or policy changes by the U.S. and foreign governments.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Current Macroeconomic Environment and Geopolitical Events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Uncertainty in the macroeconomic environment, resulting from a range of events and trends, including the recent financial institution failures, rise in global inflation and interest rates, supply chain disruptions, geopolitical pressures, including the unknown impact of current and future U.S. and PRC trade regulations, changes in PRC-Taiwan relations, the war in Ukraine, fluctuation in foreign exchange rates, and associated global economic conditions have resulted in volatility in our operating performance. For example, the war in Ukraine could lead to further market disruptions and exacerbate current supply chain constraints, including with respect to certain materials and metals, which are essential in semiconductor manufacturing. Furthermore,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 Technology and Product Development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To remain competitive, we must continue to develop new applications and enhancements to our existing products and services, particularly as next generation technology is adopted by market participants. Allocating</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and maintaining adequate research and development resources, such as the appropriate personnel and development technology, to meet the evolving demands of the market is essential to our continued success.</w:t>
      </w:r>
    </w:p>
    <w:p>
      <w:pPr>
        <w:spacing w:after="0" w:line="278" w:lineRule="exact"/>
        <w:rPr>
          <w:sz w:val="20"/>
          <w:szCs w:val="20"/>
          <w:color w:val="auto"/>
        </w:rPr>
      </w:pPr>
    </w:p>
    <w:p>
      <w:pPr>
        <w:jc w:val="right"/>
        <w:ind w:right="8500"/>
        <w:spacing w:after="0"/>
        <w:rPr>
          <w:sz w:val="20"/>
          <w:szCs w:val="20"/>
          <w:color w:val="auto"/>
        </w:rPr>
      </w:pPr>
      <w:r>
        <w:rPr>
          <w:rFonts w:ascii="Arial" w:cs="Arial" w:eastAsia="Arial" w:hAnsi="Arial"/>
          <w:sz w:val="16"/>
          <w:szCs w:val="16"/>
          <w:b w:val="1"/>
          <w:bCs w:val="1"/>
          <w:i w:val="1"/>
          <w:iCs w:val="1"/>
          <w:color w:val="auto"/>
        </w:rPr>
        <w:t>Recent Events and Transactions</w:t>
      </w:r>
    </w:p>
    <w:p>
      <w:pPr>
        <w:spacing w:after="0" w:line="140" w:lineRule="exact"/>
        <w:rPr>
          <w:sz w:val="20"/>
          <w:szCs w:val="20"/>
          <w:color w:val="auto"/>
        </w:rPr>
      </w:pPr>
    </w:p>
    <w:p>
      <w:pPr>
        <w:jc w:val="right"/>
        <w:ind w:right="8460"/>
        <w:spacing w:after="0"/>
        <w:rPr>
          <w:sz w:val="20"/>
          <w:szCs w:val="20"/>
          <w:color w:val="auto"/>
        </w:rPr>
      </w:pPr>
      <w:r>
        <w:rPr>
          <w:rFonts w:ascii="Arial" w:cs="Arial" w:eastAsia="Arial" w:hAnsi="Arial"/>
          <w:sz w:val="18"/>
          <w:szCs w:val="18"/>
          <w:i w:val="1"/>
          <w:iCs w:val="1"/>
          <w:color w:val="auto"/>
        </w:rPr>
        <w:t>Arm China Investment Sale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Prior to restructuring our investment in March 2022, we held an approximate 48% equity holding, accounted for as an equity method investment, in Arm China. In March 2022, we distributed our interest in Arm China to Acetone Limited, a company under control of SoftBank, our controlling shareholder, for contractual consideration of approximately $930 million. We retained a 10% non-voting shareholding interest in Acetone Limited, which represents an approximate 4.8% indirect interest in Arm China. As a result of these transactions, we recognized a net distribution to our immediate shareholders of $976 million. Our indirect equity interest in Arm China is recorded in income from equity investments, net on the Consolidated Income Statements included elsewhere in this prospectus. See “Related Party Transactions—Transactions with Associates—Arm China” for additional information regarding the sale of our equity interest in Arm China and related transactions.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Treasure Data and IoTP Disposals</w:t>
      </w:r>
    </w:p>
    <w:p>
      <w:pPr>
        <w:spacing w:after="0" w:line="11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Following a strategic decision in 2021 to place greater focus on our core technology licensing business, we decided to distribute or sell certain components of our IoT business to subsidiaries of SoftBank. In June 2021, we distributed all of the equity interests in Treasure Data, Inc. and its subsidiaries (“Treasure Data”) to our shareholders, and in November 2021 we sold Pelion IOT Limited and its subsidiaries (“IoTP”) to subsidiaries of SoftBank. Treasure Data’s and IoTP net assets upon distribution and sale were approximately $44 million and $12 million, respectively. Upon distribution and sale, Treasure Data and IoTP qualified for classification as discontinued operations and therefore the results of operations have been reclassified to discontinued operations for all historical periods. Following the disposals we do not have significant involvement with either company. During the fiscal years ended March 31, 2022 and 2021, we recognized net losses from discontinued operations of $127 million and $156 million, respectively. Included in net losses from discontinued operations are income tax expense (benefits) from discontinued operations of $28 million and $(38) million during the fiscal years ended March 31, 2022 and 2021, respectively.</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320" w:top="459" w:right="5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Financial and Operating Metrics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use the following key performance indicators and non-GAAP financial measures to analyze our business performance and financial forecasts and to develop strategic plans, which we believe provide useful information to the market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 The following table sets forth a summary of the key financial and operating metrics:</w:t>
      </w:r>
    </w:p>
    <w:p>
      <w:pPr>
        <w:spacing w:after="0" w:line="197"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For the 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6350</wp:posOffset>
            </wp:positionV>
            <wp:extent cx="17487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ind w:left="7360"/>
        <w:spacing w:after="0"/>
        <w:tabs>
          <w:tab w:leader="none" w:pos="90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tbl>
      <w:tblPr>
        <w:tblLayout w:type="fixed"/>
        <w:tblInd w:w="1440" w:type="dxa"/>
        <w:tblCellMar>
          <w:top w:w="0" w:type="dxa"/>
          <w:left w:w="0" w:type="dxa"/>
          <w:bottom w:w="0" w:type="dxa"/>
          <w:right w:w="0" w:type="dxa"/>
        </w:tblCellMar>
      </w:tblPr>
      <w:tr>
        <w:trPr>
          <w:trHeight w:val="142"/>
        </w:trPr>
        <w:tc>
          <w:tcPr>
            <w:tcW w:w="556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 except for Number of ATA and AFA Licenses)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2,703</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2,027</w:t>
            </w:r>
          </w:p>
        </w:tc>
      </w:tr>
      <w:tr>
        <w:trPr>
          <w:trHeight w:val="324"/>
        </w:trPr>
        <w:tc>
          <w:tcPr>
            <w:tcW w:w="556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633</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16"/>
        </w:trPr>
        <w:tc>
          <w:tcPr>
            <w:tcW w:w="55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Non-GAAP operating income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r>
      <w:tr>
        <w:trPr>
          <w:trHeight w:val="216"/>
        </w:trPr>
        <w:tc>
          <w:tcPr>
            <w:tcW w:w="55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Non-GAAP net income from continuing operations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458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1,233</w:t>
            </w:r>
          </w:p>
        </w:tc>
      </w:tr>
      <w:tr>
        <w:trPr>
          <w:trHeight w:val="216"/>
        </w:trPr>
        <w:tc>
          <w:tcPr>
            <w:tcW w:w="55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Non-GAAP free cash flow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w:t>
            </w:r>
          </w:p>
        </w:tc>
      </w:tr>
      <w:tr>
        <w:trPr>
          <w:trHeight w:val="324"/>
        </w:trPr>
        <w:tc>
          <w:tcPr>
            <w:tcW w:w="5560" w:type="dxa"/>
            <w:vAlign w:val="bottom"/>
          </w:tcPr>
          <w:p>
            <w:pPr>
              <w:spacing w:after="0"/>
              <w:rPr>
                <w:sz w:val="20"/>
                <w:szCs w:val="20"/>
                <w:color w:val="auto"/>
              </w:rPr>
            </w:pPr>
            <w:r>
              <w:rPr>
                <w:rFonts w:ascii="Arial" w:cs="Arial" w:eastAsia="Arial" w:hAnsi="Arial"/>
                <w:sz w:val="18"/>
                <w:szCs w:val="18"/>
                <w:i w:val="1"/>
                <w:iCs w:val="1"/>
                <w:color w:val="auto"/>
              </w:rPr>
              <w:t>Operating metrics: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Number of chips shipped</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25,300</w:t>
            </w:r>
          </w:p>
        </w:tc>
      </w:tr>
      <w:tr>
        <w:trPr>
          <w:trHeight w:val="216"/>
        </w:trPr>
        <w:tc>
          <w:tcPr>
            <w:tcW w:w="5560" w:type="dxa"/>
            <w:vAlign w:val="bottom"/>
          </w:tcPr>
          <w:p>
            <w:pPr>
              <w:spacing w:after="0" w:line="216" w:lineRule="exact"/>
              <w:rPr>
                <w:sz w:val="20"/>
                <w:szCs w:val="20"/>
                <w:color w:val="auto"/>
              </w:rPr>
            </w:pPr>
            <w:r>
              <w:rPr>
                <w:rFonts w:ascii="Arial" w:cs="Arial" w:eastAsia="Arial" w:hAnsi="Arial"/>
                <w:sz w:val="17"/>
                <w:szCs w:val="17"/>
                <w:color w:val="auto"/>
              </w:rPr>
              <w:t>Number of extant ATA licenses</w:t>
            </w:r>
            <w:r>
              <w:rPr>
                <w:rFonts w:ascii="Arial" w:cs="Arial" w:eastAsia="Arial" w:hAnsi="Arial"/>
                <w:sz w:val="25"/>
                <w:szCs w:val="25"/>
                <w:color w:val="auto"/>
                <w:vertAlign w:val="superscript"/>
              </w:rPr>
              <w:t>(2)</w:t>
            </w: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5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Number of extant AFA licenses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r>
    </w:tbl>
    <w:p>
      <w:pPr>
        <w:spacing w:after="0" w:line="229" w:lineRule="exact"/>
        <w:rPr>
          <w:sz w:val="20"/>
          <w:szCs w:val="20"/>
          <w:color w:val="auto"/>
        </w:rPr>
      </w:pPr>
    </w:p>
    <w:p>
      <w:pPr>
        <w:ind w:left="1080" w:hanging="532"/>
        <w:spacing w:after="0" w:line="254"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Non-GAAP operating income, Non-GAAP net income from continuing operations and Non-GAAP free cash flow are non-GAAP financial measures. For more information regarding our use of these measures and a reconciliation of these measures to the most directly comparable GAAP financial measures, see “—Non-GAAP Financial Measures—Reconciliation of Non-GAAP Financial Measures” below.</w:t>
      </w:r>
    </w:p>
    <w:p>
      <w:pPr>
        <w:spacing w:after="0" w:line="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the last day of the applicable period.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Chips Shipped</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Each quarter, most of our customers furnish us with royalty reports setting forth the actual number of Arm-powered chips they shipped in the immediately preceding quarter. Royalty reports received in the 12-month period from April 1 to March 31 of each year relate to chip shipments made in the period from January 1 to December 31 of each year. We also perform various procedures to assess customer data related to royalties for reasonableness, and our license agreements generally include rights for us to audit the books and records of our customers to verify certain types of customer data.</w:t>
      </w:r>
    </w:p>
    <w:p>
      <w:pPr>
        <w:spacing w:after="0" w:line="18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consider the number of chips reported as shipped by our customers as a key performance indicator because it represents the acceptance of our products by companies who use chips in their products (</w:t>
      </w:r>
      <w:r>
        <w:rPr>
          <w:rFonts w:ascii="Arial" w:cs="Arial" w:eastAsia="Arial" w:hAnsi="Arial"/>
          <w:sz w:val="17"/>
          <w:szCs w:val="17"/>
          <w:i w:val="1"/>
          <w:iCs w:val="1"/>
          <w:color w:val="auto"/>
        </w:rPr>
        <w:t>e.g.,</w:t>
      </w:r>
      <w:r>
        <w:rPr>
          <w:rFonts w:ascii="Arial" w:cs="Arial" w:eastAsia="Arial" w:hAnsi="Arial"/>
          <w:sz w:val="17"/>
          <w:szCs w:val="17"/>
          <w:color w:val="auto"/>
        </w:rPr>
        <w:t xml:space="preserve"> our customers’ customers). The number of chips shipped also provides insight into chip pricing and volumes in different end markets, which helps inform our pricing models and competitive positioning.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Extant ATA and AFA Licenses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Each quarter, we track the number of extant ATA and AFA licenses with our customers. We believe that, over time, many of our customers will transition to either an ATA or AFA license to access our products. This transition enables us and our customers to focus less on contract negotiations and more on how our products can be deployed in our customers’ future chips.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consider the number of extant ATA and AFA licenses as a key performance indicator as it represents the increasing collaboration between us and our customers, which could be a leading indicator to more chips being designed with our products and, accordingly, more recurring royalty revenue in the future, improving our long-term market share.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addition to our results determined in accordance with GAAP, we review financial measures that are not calculated and presented in accordance with GAAP. Our non-GAAP financial measures include Non-GAAP operating income, Non-GAAP net income from continuing operations, and Non-GAAP free cash flow, each of which is described below. We believe our non-GAAP financial measures are useful in evaluating our operating performance and liquidity position. We use the non-GAAP financial measures presented below, collectively, to evaluate our ongoing performance and for internal planning, forecasting and budgeting purposes.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 reconciliation of each of our non-GAAP financial measures to the most directly comparable financial measure presented in accordance with GAAP is presented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Non-GAAP Operating Income and Non-GAAP Net Income From Continuing Operations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utilize Non-GAAP operating income and Non-GAAP net income from continuing operations for the purpose of assessing our operating performance.</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define Non-GAAP operating income as our GAAP operating income excluding purchased intangible asset amortization, share-based compensation expense associated with equity awards where our intent is to issue equity upon vesting (in lieu of cash settlement) following the occurrence of an initial public offering or change in control, costs associated with disposal activities, impairment of long-lived assets, restructuring and related costs, public company readiness costs, and other operating income (expenses), net, which includes costs of COVID-19 response programs.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define Non-GAAP net income from continuing operations as our GAAP net income excluding acquisition-related intangible asset amortization, share-based compensation expense associated with equity awards where our intent is to issue equity upon vesting (in lieu of cash settlement) following the occurrence of an initial public offering or change in control, costs associated with disposal activities, impairment of long-lived assets, restructuring and related costs, public company readiness costs, other operating income (expenses), net, which includes costs of COVID-19 response programs and income tax effect on non-GAAP adjustments. We exclude these items from our Non-GAAP operating income and Non-GAAP net income from continuing operations measure because they are non-cash in nature, or because the amount and timing of these items is unpredictable, not driven by core results of operations and renders comparisons with prior periods and competitors less meaningful. We believe Non-GAAP operating income and Non-GAAP net income from continuing operations provide useful information to investors and others in understanding and evaluating our results of operations, as well as provides a useful measure for period-to-period comparisons of our business performance. Moreover, we have included Non-GAAP operating income and Non-GAAP net income from continuing operations in this prospectus because they are key measurements used by our management internally to make operating decisions, including those related to analyzing operating expenses, evaluating performance, and performing strategic planning and annual budgeting.</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Non-GAAP operating income and Non-GAAP net income from continuing operations have limitations as financial measures, should be considered as supplemental in nature, and are not meant as a substitute for the related financial information prepared in accordance with GAAP. These limitations include the following:</w:t>
      </w:r>
    </w:p>
    <w:p>
      <w:pPr>
        <w:spacing w:after="0" w:line="89" w:lineRule="exact"/>
        <w:rPr>
          <w:sz w:val="20"/>
          <w:szCs w:val="20"/>
          <w:color w:val="auto"/>
        </w:rPr>
      </w:pPr>
    </w:p>
    <w:p>
      <w:pPr>
        <w:ind w:left="1080" w:right="40" w:hanging="424"/>
        <w:spacing w:after="0" w:line="30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Non-GAAP operating income and Non-GAAP net income from continuing operations exclude certain recurring, non-cash charges, such as acquisition-related intangible asset amortization, and although these are non-cash charges, the assets being amortized contribute to revenue generation and may have to be replaced in the future. Non-GAAP operating income and Non-GAAP net income from continuing operations do not reflect all cash requirements for such replacements or for new capital expenditure requirements; and</w:t>
      </w:r>
    </w:p>
    <w:p>
      <w:pPr>
        <w:spacing w:after="0" w:line="62" w:lineRule="exact"/>
        <w:rPr>
          <w:rFonts w:ascii="Arial" w:cs="Arial" w:eastAsia="Arial" w:hAnsi="Arial"/>
          <w:sz w:val="16"/>
          <w:szCs w:val="16"/>
          <w:color w:val="auto"/>
        </w:rPr>
      </w:pPr>
    </w:p>
    <w:p>
      <w:pPr>
        <w:ind w:left="1080" w:right="60" w:hanging="424"/>
        <w:spacing w:after="0" w:line="279"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Non-GAAP operating income and Non-GAAP net income from continuing operations exclude share-based compensation expense associated with equity awards where our intent is to issue equity upon vesting (in lieu of cash settlement) following the occurrence of an initial public offering or change in control. Share-based compensation expense has been, and will continue to be for the foreseeable future, a significant recurring expense in our business and an important part of our compensation strategy.</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Because of these limitations, you should consider Non-GAAP operating income and Non-GAAP net income from continuing operations alongside other financial performance measures, including operating income, net income and our other GAAP results. For more information regarding our use of these measures and a reconciliation to the most directly comparable GAAP financial measure, see “—Reconciliation of Non-GAAP Financial Measures.”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Non-GAAP Free Cash Flow</w:t>
      </w:r>
    </w:p>
    <w:p>
      <w:pPr>
        <w:spacing w:after="0" w:line="117"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We monitor Non-GAAP free cash flow for the purpose of measuring our liquidity. We define Non-GAAP free cash flow as cash flow from operations minus capital expenditures offset by proceeds realized from capital disposal activities. We believe that Non-GAAP free cash flow is a meaningful indicator of liquidity that provides information to our management and investors about the amount of cash generated from operations, after purchases of property and equipment, that can be used for investment in our business and for acquisitions as well as to strengthen our balance sheet. Non-GAAP free cash flow has limitations as an analytical tool and should not be considered in isolation or as a substitute for analysis of other GAAP financial measures, such as net cash provided by operations. Non-GAAP free cash flow does not reflect our ability to meet future contractual commitments and may be calculated differently by other companies in our industry, limiting its usefulness as a comparative measure. For more information regarding our use of this measure and a reconciliation to the most directly comparable GAAP financial measure, see “—Reconciliation of Non-GAAP Financial Measures”.</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Reconciliation of Non-GAAP Financial Measures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non-GAAP financial information is presented for supplemental informational purposes only, should not be considered a substitute for financial information presented in accordance with GAAP, and may be different from similarly titled non-GAAP financial measures used by other companies. A reconciliation of each non-GAAP financial measure to the most directly comparable financial measure stated in accordance with GAAP is provided below. We encourage investors and others to review our financial information in its entirety, not to rely on any single financial measure and to view the non-GAAP financial measures in conjunction with their respective related GAAP financial measures.</w:t>
      </w:r>
    </w:p>
    <w:p>
      <w:pPr>
        <w:spacing w:after="0" w:line="1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is a reconciliation of Non-GAAP operating income to Operating income, the most directly comparable GAAP financial measure:</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Fiscal Year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448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4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633</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Adjusted for</w:t>
            </w: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Acquisition-related intangible asset amortization</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Share-based compensation expense (equity settled)</w:t>
            </w:r>
            <w:r>
              <w:rPr>
                <w:rFonts w:ascii="Arial" w:cs="Arial" w:eastAsia="Arial" w:hAnsi="Arial"/>
                <w:sz w:val="25"/>
                <w:szCs w:val="25"/>
                <w:color w:val="auto"/>
                <w:vertAlign w:val="superscript"/>
              </w:rPr>
              <w:t>(1)</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Costs associated with disposal activities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Impairment of long-lived assets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Restructuring and related costs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Public company readiness costs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income (expenses), net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40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share-based compensation expense, including both cash and equity settled awards, was $26 million and $54 million for the fiscal years ended March 31, 2022 and 2021, respectively.</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following is a reconciliation of Non-GAAP net income from continuing operations to Net income from continuing operations, the most directly comparable GAAP financial measure: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For the Fiscal Year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446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44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from continuing operations</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676</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Adjusted for</w:t>
            </w: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Acquisition-related intangible asset amortization</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 xml:space="preserve">Share-based compensation expense (equity settled) </w:t>
            </w:r>
            <w:r>
              <w:rPr>
                <w:rFonts w:ascii="Arial" w:cs="Arial" w:eastAsia="Arial" w:hAnsi="Arial"/>
                <w:sz w:val="25"/>
                <w:szCs w:val="25"/>
                <w:color w:val="auto"/>
                <w:vertAlign w:val="superscript"/>
              </w:rPr>
              <w:t>(1)</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Costs associated with disposal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Impairment of long-lived assets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Restructuring and related costs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Public company readiness costs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income (expenses), net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Income (loss) from equity method investments, net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Pre-tax total non-GAAP adjustments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Income tax effects on non-GAAP adjustments</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94"/>
        </w:trPr>
        <w:tc>
          <w:tcPr>
            <w:tcW w:w="7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net income from continuing operations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share-based compensation expense, including both cash and equity settled awards, was $26 million and $54 million for the fiscal year ended March 31, 2022 and 2021, respectively.</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reconciliation of Non-GAAP free cash flow to Net cash provided by operating activities, the most directly comparable GAAP cash flow measure: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For the Fiscal Year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308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2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458</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i w:val="1"/>
                <w:iCs w:val="1"/>
                <w:color w:val="auto"/>
              </w:rPr>
              <w:t>Adjusted for</w:t>
            </w:r>
            <w:r>
              <w:rPr>
                <w:rFonts w:ascii="Arial" w:cs="Arial" w:eastAsia="Arial" w:hAnsi="Arial"/>
                <w:sz w:val="18"/>
                <w:szCs w:val="18"/>
                <w:color w:val="auto"/>
              </w:rPr>
              <w:t>:</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Non-GAAP free cash flow</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350"/>
        </w:trPr>
        <w:tc>
          <w:tcPr>
            <w:tcW w:w="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60" w:type="dxa"/>
            <w:vAlign w:val="bottom"/>
          </w:tcPr>
          <w:p>
            <w:pPr>
              <w:jc w:val="right"/>
              <w:ind w:right="179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Revenue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Most of our licenses have two components: license fees and support and maintenance fees (recognized as license and other revenues) and per-chip royalties (recognized as royalty revenues). However, some licenses can have multiple payment milestones that are date-based or event-based (</w:t>
      </w:r>
      <w:r>
        <w:rPr>
          <w:rFonts w:ascii="Arial" w:cs="Arial" w:eastAsia="Arial" w:hAnsi="Arial"/>
          <w:sz w:val="18"/>
          <w:szCs w:val="18"/>
          <w:i w:val="1"/>
          <w:iCs w:val="1"/>
          <w:color w:val="auto"/>
        </w:rPr>
        <w:t>e.g.,</w:t>
      </w:r>
      <w:r>
        <w:rPr>
          <w:rFonts w:ascii="Arial" w:cs="Arial" w:eastAsia="Arial" w:hAnsi="Arial"/>
          <w:sz w:val="18"/>
          <w:szCs w:val="18"/>
          <w:color w:val="auto"/>
        </w:rPr>
        <w:t xml:space="preserve"> six months after the effective date of the contract or upon tape-out of the first chip design).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disaggregate revenue into the following major categories: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License and Other Revenues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License and other revenues includes revenue from licensing, software development tools, design services, training, support, and all other fees that do not constitute royalty revenue. The products licensed by us consists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w:t>
      </w:r>
      <w:r>
        <w:rPr>
          <w:rFonts w:ascii="Arial" w:cs="Arial" w:eastAsia="Arial" w:hAnsi="Arial"/>
          <w:sz w:val="17"/>
          <w:szCs w:val="17"/>
          <w:i w:val="1"/>
          <w:iCs w:val="1"/>
          <w:color w:val="auto"/>
        </w:rPr>
        <w:t>i.e.,</w:t>
      </w:r>
      <w:r>
        <w:rPr>
          <w:rFonts w:ascii="Arial" w:cs="Arial" w:eastAsia="Arial" w:hAnsi="Arial"/>
          <w:sz w:val="17"/>
          <w:szCs w:val="17"/>
          <w:color w:val="auto"/>
        </w:rPr>
        <w:t xml:space="preserv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revenues from a relatively small number of customers.</w:t>
      </w:r>
    </w:p>
    <w:p>
      <w:pPr>
        <w:spacing w:after="0" w:line="178"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post-delivery support services, which consist of telephonic or e-mail support. Fees for post-delivery support services are generally specified in the contract. Typically, no upgrades to the licensed products are provided, except those updates and upgrades provided on a when-and-if-available basis. Revenues from post-delivery service support are recorded within other revenues.</w:t>
      </w:r>
    </w:p>
    <w:p>
      <w:pPr>
        <w:spacing w:after="0" w:line="17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AFA agreements provide our customers with access to a wide range of processor, graphics, and systems products, especially older and less performant products. AFA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AFA agreements are most suitable for smaller companies, including start-ups and business units of larger companies, that want to experiment with different configurations of our products</w:t>
      </w:r>
    </w:p>
    <w:p>
      <w:pPr>
        <w:spacing w:after="0" w:line="2" w:lineRule="exact"/>
        <w:rPr>
          <w:sz w:val="20"/>
          <w:szCs w:val="20"/>
          <w:color w:val="auto"/>
        </w:rPr>
      </w:pPr>
    </w:p>
    <w:p>
      <w:pPr>
        <w:ind w:left="520" w:hanging="404"/>
        <w:spacing w:after="0" w:line="250" w:lineRule="auto"/>
        <w:rPr>
          <w:sz w:val="20"/>
          <w:szCs w:val="20"/>
          <w:color w:val="auto"/>
        </w:rPr>
      </w:pPr>
      <w:r>
        <w:rPr>
          <w:rFonts w:ascii="Arial" w:cs="Arial" w:eastAsia="Arial" w:hAnsi="Arial"/>
          <w:sz w:val="18"/>
          <w:szCs w:val="18"/>
          <w:color w:val="auto"/>
        </w:rPr>
        <w:t>before committing to a chip design. As of the date of this prospectus, we have</w:t>
      </w:r>
      <w:r>
        <w:rPr>
          <w:sz w:val="20"/>
          <w:szCs w:val="20"/>
          <w:color w:val="auto"/>
        </w:rPr>
        <w:t xml:space="preserve"> </w:t>
      </w:r>
      <w:r>
        <w:rPr>
          <w:rFonts w:ascii="Arial" w:cs="Arial" w:eastAsia="Arial" w:hAnsi="Arial"/>
          <w:sz w:val="18"/>
          <w:szCs w:val="18"/>
          <w:color w:val="auto"/>
        </w:rPr>
        <w:t>extant AFA agreements with our customers, reflecting an increase of from as of .</w:t>
      </w:r>
    </w:p>
    <w:p>
      <w:pPr>
        <w:spacing w:after="0" w:line="200" w:lineRule="exact"/>
        <w:rPr>
          <w:sz w:val="20"/>
          <w:szCs w:val="20"/>
          <w:color w:val="auto"/>
        </w:rPr>
      </w:pPr>
    </w:p>
    <w:p>
      <w:pPr>
        <w:spacing w:after="0" w:line="21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ATA agreements also provide our customers with access to a package of our products, including processor, graphics, and systems products. ATA customers have the option to license our most advanced processors as part of the package. ATA customers pay a periodic portfolio license fee to maintain access to our products. There are no additional fees payable by our customers under our ATA agreements upon tape-out because manufacturing design rights are included within the portfolio license fee and are reflected in the license pricing. We believe that ATA agreements are most suitable for larger, established, semiconductor companies who expect to deploy our products in a wide range of their products. As of the date of this prospectus, we</w:t>
      </w:r>
    </w:p>
    <w:p>
      <w:pPr>
        <w:spacing w:after="0" w:line="2" w:lineRule="exact"/>
        <w:rPr>
          <w:sz w:val="20"/>
          <w:szCs w:val="20"/>
          <w:color w:val="auto"/>
        </w:rPr>
      </w:pPr>
    </w:p>
    <w:p>
      <w:pPr>
        <w:ind w:left="120"/>
        <w:spacing w:after="0"/>
        <w:tabs>
          <w:tab w:leader="none" w:pos="1060" w:val="left"/>
          <w:tab w:leader="none" w:pos="6620" w:val="left"/>
          <w:tab w:leader="none" w:pos="7600" w:val="left"/>
          <w:tab w:leader="none" w:pos="8540" w:val="left"/>
        </w:tabs>
        <w:rPr>
          <w:sz w:val="20"/>
          <w:szCs w:val="20"/>
          <w:color w:val="auto"/>
        </w:rPr>
      </w:pPr>
      <w:r>
        <w:rPr>
          <w:rFonts w:ascii="Arial" w:cs="Arial" w:eastAsia="Arial" w:hAnsi="Arial"/>
          <w:sz w:val="18"/>
          <w:szCs w:val="18"/>
          <w:color w:val="auto"/>
        </w:rPr>
        <w:t>have</w:t>
      </w:r>
      <w:r>
        <w:rPr>
          <w:sz w:val="20"/>
          <w:szCs w:val="20"/>
          <w:color w:val="auto"/>
        </w:rPr>
        <w:tab/>
      </w:r>
      <w:r>
        <w:rPr>
          <w:rFonts w:ascii="Arial" w:cs="Arial" w:eastAsia="Arial" w:hAnsi="Arial"/>
          <w:sz w:val="18"/>
          <w:szCs w:val="18"/>
          <w:color w:val="auto"/>
        </w:rPr>
        <w:t>extant ATA agreements with our customers, reflecting an increase of</w:t>
      </w:r>
      <w:r>
        <w:rPr>
          <w:sz w:val="20"/>
          <w:szCs w:val="20"/>
          <w:color w:val="auto"/>
        </w:rPr>
        <w:tab/>
      </w: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as of</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provide software development tools and a range of services to companies developing chips based on our products. These tools and services include, among others: (i) software development tools for engineers to write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Royalty Revenues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Royalties are generally either set as a percentage of the licensee’s net sale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“—Key Factors and Trends Affecting Our Operating Results—Ability to Provide Our Customers with More Value Per Chip” above for examples of how customers may incorporate multiple products in a single chip. License contracts require the licensee to issue royalty reports, including details of chip sales, to us on a quarterly basis.</w:t>
      </w:r>
    </w:p>
    <w:p>
      <w:pPr>
        <w:spacing w:after="0" w:line="178"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Royalty revenues are recognized on an accrual basis in the quarter in which the customers ship chips containing our products, using an estimate based on sales trends and product information (with a true-up in the following quarter based on actual sales data once received).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Cost of sales (“COS”) is comprised primarily of the costs of providing technical support and training to our customers. Occasionally, some Research and Development costs may be classified as COS if one of our IP products is being customized as part of professional and design services.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Research and development is at the heart of our business and critical to our future success. Accordingly, we have always invested, and will continue to invest, significant resources in our R&amp;D program.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substantially increased our R&amp;D investment to focus on long-term returns and to replicate the strong position that we maintain in smartphones and in other markets, such as automotive, networking equipment, cloud servers and industrial IoT. Each generation of processor is typically more advanced and more complex than the previous generation, which requires increased development efforts that may be partially offset by improvements in productivity. Consequently, each year we increase our R&amp;D investment in line with the increased development needs of the next generation of products. Engineers are in high demand and well-remunerated, and accordingly our increased R&amp;D activity will continue to result in an increase in costs, principally driven by salaries for such technical employees and the costs of tools they need.</w:t>
      </w:r>
    </w:p>
    <w:p>
      <w:pPr>
        <w:spacing w:after="0" w:line="17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R&amp;D expenses consist primarily of employee-related expenses, including salaries, bonuses, share-based compensation, and benefits associated with employees in research and development functions, along with project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materials costs, third-party fees paid to consultants, depreciation and amortization, allocated overhead, and other development expenses. We receive government grants to compensate for certain research activities and we recognize the benefit as a reduction of the related expenses included in R&amp;D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and other corporate-related expenses.</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recent years, we have invested in new systems for our commercial and finance teams to streamline our operations and create efficiencies. Our transition to new systems required an increase in headcount to deliver additional functionality and, as this work concluded, we restructured the selling, general and administrative functions in our fiscal year ended March 31, 2022 to take full advantage of the new systems and benefit from increased operational efficiency. In March 2022, we announced a restructuring plan to align our selling, general and administrative workforce with strategic business activities. The expenses associated with this plan are included within “Restructuring and Related Costs” in the consolidated income statements and consist of employee termination benefits and other related costs.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Impairment of long-lived assets includes impairments recognized on certain property and equipment and acquired intangibles as a result of lower than anticipated operating results and a deterioration in projected results. For purposes of determining the impairment, we relied on the income approach utilizing discounted cash flows to arrive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Equity Investments, Net</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Income from equity investments, net includes changes in the fair value of certain equity method investments for which we elect to apply fair value accounting or at the net asset value,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under GAAP and is recognized in the quarter following the quarter in which such income or loss is recognized by our investee.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Interest income consists primarily of interest received on cash and cash equivalents, short-term investments that we hold with various financial institutions, and loans receivable. Interest expense consists primarily of interest on finance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Non-Operating Income (Loss), Net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exchange contracts and changes in the fair value of convertible loans receivable.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We account for income taxes using the asset and liability method under GAAP, whereby deferred income taxes are recognized for the tax consequences of temporary differences between financial statement carrying</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amounts and the tax basis of assets and liabilities. Income tax expense reflects income earned and taxed, in jurisdictions in which we conduct business, which mainly include U.K. and U.S. federal and state income taxes. We benefit from the U.K.’s “patent box” regime, which allows certain profits attributable to revenue from patented products (and other qualifying income) to be taxed at an effective corporation tax rate of 10%.</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the components of continued operations from our consolidated income statements and such data as a percentage of total revenues on an absolute basis,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gridSpan w:val="17"/>
          </w:tcPr>
          <w:p>
            <w:pPr>
              <w:jc w:val="right"/>
              <w:ind w:right="1420"/>
              <w:spacing w:after="0"/>
              <w:rPr>
                <w:sz w:val="20"/>
                <w:szCs w:val="20"/>
                <w:color w:val="auto"/>
              </w:rPr>
            </w:pPr>
            <w:r>
              <w:rPr>
                <w:rFonts w:ascii="Arial" w:cs="Arial" w:eastAsia="Arial" w:hAnsi="Arial"/>
                <w:sz w:val="14"/>
                <w:szCs w:val="14"/>
                <w:b w:val="1"/>
                <w:bCs w:val="1"/>
                <w:color w:val="auto"/>
                <w:w w:val="99"/>
              </w:rPr>
              <w:t>For the Fiscal Year Ended March 31,</w:t>
            </w:r>
          </w:p>
        </w:tc>
        <w:tc>
          <w:tcPr>
            <w:tcW w:w="0" w:type="dxa"/>
            <w:vAlign w:val="bottom"/>
          </w:tcPr>
          <w:p>
            <w:pPr>
              <w:spacing w:after="0"/>
              <w:rPr>
                <w:sz w:val="1"/>
                <w:szCs w:val="1"/>
                <w:color w:val="auto"/>
              </w:rPr>
            </w:pPr>
          </w:p>
        </w:tc>
      </w:tr>
      <w:tr>
        <w:trPr>
          <w:trHeight w:val="119"/>
        </w:trPr>
        <w:tc>
          <w:tcPr>
            <w:tcW w:w="440" w:type="dxa"/>
            <w:vAlign w:val="bottom"/>
            <w:vMerge w:val="restart"/>
          </w:tcPr>
          <w:p>
            <w:pPr>
              <w:spacing w:after="0"/>
              <w:rPr>
                <w:sz w:val="10"/>
                <w:szCs w:val="10"/>
                <w:color w:val="auto"/>
              </w:rPr>
            </w:pPr>
          </w:p>
        </w:tc>
        <w:tc>
          <w:tcPr>
            <w:tcW w:w="1900" w:type="dxa"/>
            <w:vAlign w:val="bottom"/>
            <w:gridSpan w:val="2"/>
            <w:vMerge w:val="restart"/>
          </w:tcPr>
          <w:p>
            <w:pPr>
              <w:spacing w:after="0"/>
              <w:rPr>
                <w:sz w:val="20"/>
                <w:szCs w:val="20"/>
                <w:color w:val="auto"/>
              </w:rPr>
            </w:pPr>
            <w:r>
              <w:rPr>
                <w:rFonts w:ascii="Arial" w:cs="Arial" w:eastAsia="Arial" w:hAnsi="Arial"/>
                <w:sz w:val="14"/>
                <w:szCs w:val="14"/>
                <w:color w:val="auto"/>
                <w:w w:val="93"/>
              </w:rPr>
              <w:t>(in millions, except percentages)</w:t>
            </w:r>
          </w:p>
        </w:tc>
        <w:tc>
          <w:tcPr>
            <w:tcW w:w="254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4"/>
          </w:tcPr>
          <w:p>
            <w:pPr>
              <w:jc w:val="right"/>
              <w:ind w:right="520"/>
              <w:spacing w:after="0" w:line="119" w:lineRule="exact"/>
              <w:rPr>
                <w:sz w:val="20"/>
                <w:szCs w:val="20"/>
                <w:color w:val="auto"/>
              </w:rPr>
            </w:pPr>
            <w:r>
              <w:rPr>
                <w:rFonts w:ascii="Arial" w:cs="Arial" w:eastAsia="Arial" w:hAnsi="Arial"/>
                <w:sz w:val="13"/>
                <w:szCs w:val="13"/>
                <w:b w:val="1"/>
                <w:bCs w:val="1"/>
                <w:color w:val="auto"/>
              </w:rPr>
              <w:t>% of</w:t>
            </w:r>
          </w:p>
        </w:tc>
        <w:tc>
          <w:tcPr>
            <w:tcW w:w="700" w:type="dxa"/>
            <w:vAlign w:val="bottom"/>
            <w:tcBorders>
              <w:top w:val="single" w:sz="8" w:color="auto"/>
            </w:tcBorders>
            <w:gridSpan w:val="4"/>
            <w:vMerge w:val="restart"/>
          </w:tcPr>
          <w:p>
            <w:pPr>
              <w:ind w:left="2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900" w:type="dxa"/>
            <w:vAlign w:val="bottom"/>
            <w:tcBorders>
              <w:bottom w:val="single" w:sz="8" w:color="auto"/>
            </w:tcBorders>
            <w:gridSpan w:val="2"/>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4"/>
          </w:tcPr>
          <w:p>
            <w:pPr>
              <w:jc w:val="right"/>
              <w:ind w:right="420"/>
              <w:spacing w:after="0" w:line="158" w:lineRule="exact"/>
              <w:rPr>
                <w:sz w:val="20"/>
                <w:szCs w:val="20"/>
                <w:color w:val="auto"/>
              </w:rPr>
            </w:pPr>
            <w:r>
              <w:rPr>
                <w:rFonts w:ascii="Arial" w:cs="Arial" w:eastAsia="Arial" w:hAnsi="Arial"/>
                <w:sz w:val="14"/>
                <w:szCs w:val="14"/>
                <w:b w:val="1"/>
                <w:bCs w:val="1"/>
                <w:color w:val="auto"/>
                <w:w w:val="89"/>
              </w:rPr>
              <w:t>revenue</w:t>
            </w:r>
          </w:p>
        </w:tc>
        <w:tc>
          <w:tcPr>
            <w:tcW w:w="7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4"/>
          </w:tcPr>
          <w:p>
            <w:pPr>
              <w:jc w:val="right"/>
              <w:ind w:right="660"/>
              <w:spacing w:after="0" w:line="15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lef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Revenue from external customers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$ 2,219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8"/>
                <w:szCs w:val="18"/>
                <w:color w:val="auto"/>
              </w:rPr>
              <w:t>$ 1,579</w:t>
            </w: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 from related parties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2,703</w:t>
            </w:r>
          </w:p>
        </w:tc>
        <w:tc>
          <w:tcPr>
            <w:tcW w:w="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2,027</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54"/>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(145)</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2,572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8"/>
                <w:szCs w:val="18"/>
                <w:color w:val="auto"/>
              </w:rPr>
              <w:t>1,882</w:t>
            </w: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154"/>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(814)</w:t>
            </w: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54"/>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(826)</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tcPr>
          <w:p>
            <w:pPr>
              <w:ind w:left="360"/>
              <w:spacing w:after="0"/>
              <w:rPr>
                <w:sz w:val="20"/>
                <w:szCs w:val="20"/>
                <w:color w:val="auto"/>
              </w:rPr>
            </w:pPr>
            <w:r>
              <w:rPr>
                <w:rFonts w:ascii="Arial" w:cs="Arial" w:eastAsia="Arial" w:hAnsi="Arial"/>
                <w:sz w:val="18"/>
                <w:szCs w:val="18"/>
                <w:color w:val="auto"/>
              </w:rPr>
              <w:t>Impairment of long-lived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154"/>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Restructuring and related costs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54"/>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Total operating expense</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(1,939)</w:t>
            </w:r>
          </w:p>
        </w:tc>
        <w:tc>
          <w:tcPr>
            <w:tcW w:w="3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(1,643)</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tcPr>
          <w:p>
            <w:pPr>
              <w:ind w:left="360"/>
              <w:spacing w:after="0"/>
              <w:rPr>
                <w:sz w:val="20"/>
                <w:szCs w:val="20"/>
                <w:color w:val="auto"/>
              </w:rPr>
            </w:pPr>
            <w:r>
              <w:rPr>
                <w:rFonts w:ascii="Arial" w:cs="Arial" w:eastAsia="Arial" w:hAnsi="Arial"/>
                <w:sz w:val="18"/>
                <w:szCs w:val="18"/>
                <w:color w:val="auto"/>
              </w:rPr>
              <w:t>Income from equity investments,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3"/>
          </w:tcPr>
          <w:p>
            <w:pPr>
              <w:ind w:left="360"/>
              <w:spacing w:after="0"/>
              <w:rPr>
                <w:sz w:val="20"/>
                <w:szCs w:val="20"/>
                <w:color w:val="auto"/>
              </w:rPr>
            </w:pPr>
            <w:r>
              <w:rPr>
                <w:rFonts w:ascii="Arial" w:cs="Arial" w:eastAsia="Arial" w:hAnsi="Arial"/>
                <w:sz w:val="18"/>
                <w:szCs w:val="18"/>
                <w:color w:val="auto"/>
              </w:rPr>
              <w:t>Other non-operating income (loss),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1"/>
              </w:rPr>
              <w:t>Income from continuing operations before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ind w:left="4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3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(153)</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580" w:type="dxa"/>
            <w:vAlign w:val="bottom"/>
            <w:gridSpan w:val="10"/>
          </w:tcPr>
          <w:p>
            <w:pPr>
              <w:spacing w:after="0"/>
              <w:rPr>
                <w:sz w:val="20"/>
                <w:szCs w:val="20"/>
                <w:color w:val="auto"/>
              </w:rPr>
            </w:pPr>
            <w:r>
              <w:rPr>
                <w:rFonts w:ascii="Arial" w:cs="Arial" w:eastAsia="Arial" w:hAnsi="Arial"/>
                <w:sz w:val="18"/>
                <w:szCs w:val="18"/>
                <w:b w:val="1"/>
                <w:bCs w:val="1"/>
                <w:color w:val="auto"/>
                <w:w w:val="95"/>
              </w:rPr>
              <w:t>Comparison of Performance for the Fiscal Years Ended March 31, 2022 and 2021</w:t>
            </w: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gridSpan w:val="4"/>
          </w:tcPr>
          <w:p>
            <w:pPr>
              <w:spacing w:after="0"/>
              <w:rPr>
                <w:sz w:val="20"/>
                <w:szCs w:val="20"/>
                <w:color w:val="auto"/>
              </w:rPr>
            </w:pPr>
            <w:r>
              <w:rPr>
                <w:rFonts w:ascii="Arial" w:cs="Arial" w:eastAsia="Arial" w:hAnsi="Arial"/>
                <w:sz w:val="18"/>
                <w:szCs w:val="18"/>
                <w:i w:val="1"/>
                <w:iCs w:val="1"/>
                <w:color w:val="auto"/>
              </w:rPr>
              <w:t>Total revenue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gridSpan w:val="12"/>
            <w:vMerge w:val="restart"/>
          </w:tcPr>
          <w:p>
            <w:pPr>
              <w:jc w:val="right"/>
              <w:ind w:right="800"/>
              <w:spacing w:after="0"/>
              <w:rPr>
                <w:sz w:val="20"/>
                <w:szCs w:val="20"/>
                <w:color w:val="auto"/>
              </w:rPr>
            </w:pPr>
            <w:r>
              <w:rPr>
                <w:rFonts w:ascii="Arial" w:cs="Arial" w:eastAsia="Arial" w:hAnsi="Arial"/>
                <w:sz w:val="14"/>
                <w:szCs w:val="14"/>
                <w:b w:val="1"/>
                <w:bCs w:val="1"/>
                <w:color w:val="auto"/>
                <w:w w:val="93"/>
              </w:rPr>
              <w:t>For the Fiscal Year Ended March 31,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Period-Over-Period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gridSpan w:val="1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000" w:type="dxa"/>
            <w:vAlign w:val="bottom"/>
            <w:gridSpan w:val="2"/>
            <w:vMerge w:val="restart"/>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w w:val="89"/>
              </w:rPr>
              <w:t>2022</w:t>
            </w: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 of</w:t>
            </w:r>
          </w:p>
        </w:tc>
        <w:tc>
          <w:tcPr>
            <w:tcW w:w="880" w:type="dxa"/>
            <w:vAlign w:val="bottom"/>
            <w:tcBorders>
              <w:top w:val="single" w:sz="8" w:color="auto"/>
            </w:tcBorders>
            <w:gridSpan w:val="4"/>
            <w:vMerge w:val="restart"/>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gridSpan w:val="4"/>
          </w:tcPr>
          <w:p>
            <w:pPr>
              <w:jc w:val="right"/>
              <w:ind w:right="140"/>
              <w:spacing w:after="0" w:line="119" w:lineRule="exact"/>
              <w:rPr>
                <w:sz w:val="20"/>
                <w:szCs w:val="20"/>
                <w:color w:val="auto"/>
              </w:rPr>
            </w:pPr>
            <w:r>
              <w:rPr>
                <w:rFonts w:ascii="Arial" w:cs="Arial" w:eastAsia="Arial" w:hAnsi="Arial"/>
                <w:sz w:val="13"/>
                <w:szCs w:val="13"/>
                <w:b w:val="1"/>
                <w:bCs w:val="1"/>
                <w:color w:val="auto"/>
              </w:rPr>
              <w:t>Change</w:t>
            </w: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gridSpan w:val="2"/>
            <w:vMerge w:val="continue"/>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85"/>
              </w:rPr>
              <w:t>revenue</w:t>
            </w:r>
          </w:p>
        </w:tc>
        <w:tc>
          <w:tcPr>
            <w:tcW w:w="8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4"/>
          </w:tcPr>
          <w:p>
            <w:pPr>
              <w:jc w:val="right"/>
              <w:ind w:right="80"/>
              <w:spacing w:after="0" w:line="158" w:lineRule="exact"/>
              <w:rPr>
                <w:sz w:val="20"/>
                <w:szCs w:val="20"/>
                <w:color w:val="auto"/>
              </w:rPr>
            </w:pPr>
            <w:r>
              <w:rPr>
                <w:rFonts w:ascii="Arial" w:cs="Arial" w:eastAsia="Arial" w:hAnsi="Arial"/>
                <w:sz w:val="14"/>
                <w:szCs w:val="14"/>
                <w:b w:val="1"/>
                <w:bCs w:val="1"/>
                <w:color w:val="auto"/>
                <w:w w:val="89"/>
              </w:rPr>
              <w:t>(millions)</w:t>
            </w:r>
          </w:p>
        </w:tc>
        <w:tc>
          <w:tcPr>
            <w:tcW w:w="320" w:type="dxa"/>
            <w:vAlign w:val="bottom"/>
          </w:tcPr>
          <w:p>
            <w:pPr>
              <w:spacing w:after="0"/>
              <w:rPr>
                <w:sz w:val="13"/>
                <w:szCs w:val="13"/>
                <w:color w:val="auto"/>
              </w:rPr>
            </w:pPr>
          </w:p>
        </w:tc>
        <w:tc>
          <w:tcPr>
            <w:tcW w:w="1140" w:type="dxa"/>
            <w:vAlign w:val="bottom"/>
            <w:gridSpan w:val="4"/>
          </w:tcPr>
          <w:p>
            <w:pPr>
              <w:jc w:val="right"/>
              <w:ind w:right="260"/>
              <w:spacing w:after="0" w:line="158" w:lineRule="exact"/>
              <w:rPr>
                <w:sz w:val="20"/>
                <w:szCs w:val="20"/>
                <w:color w:val="auto"/>
              </w:rPr>
            </w:pPr>
            <w:r>
              <w:rPr>
                <w:rFonts w:ascii="Arial" w:cs="Arial" w:eastAsia="Arial" w:hAnsi="Arial"/>
                <w:sz w:val="14"/>
                <w:szCs w:val="14"/>
                <w:b w:val="1"/>
                <w:bCs w:val="1"/>
                <w:color w:val="auto"/>
                <w:w w:val="93"/>
              </w:rPr>
              <w:t>(percentages)</w:t>
            </w:r>
          </w:p>
        </w:tc>
        <w:tc>
          <w:tcPr>
            <w:tcW w:w="0" w:type="dxa"/>
            <w:vAlign w:val="bottom"/>
          </w:tcPr>
          <w:p>
            <w:pPr>
              <w:spacing w:after="0"/>
              <w:rPr>
                <w:sz w:val="1"/>
                <w:szCs w:val="1"/>
                <w:color w:val="auto"/>
              </w:rPr>
            </w:pPr>
          </w:p>
        </w:tc>
      </w:tr>
      <w:tr>
        <w:trPr>
          <w:trHeight w:val="20"/>
        </w:trPr>
        <w:tc>
          <w:tcPr>
            <w:tcW w:w="48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80" w:type="dxa"/>
            <w:vAlign w:val="bottom"/>
            <w:tcBorders>
              <w:lef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gridSpan w:val="4"/>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2,219</w:t>
            </w:r>
          </w:p>
        </w:tc>
        <w:tc>
          <w:tcPr>
            <w:tcW w:w="4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82%</w:t>
            </w:r>
          </w:p>
        </w:tc>
        <w:tc>
          <w:tcPr>
            <w:tcW w:w="380" w:type="dxa"/>
            <w:vAlign w:val="bottom"/>
            <w:vMerge w:val="continue"/>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$1,579</w:t>
            </w:r>
          </w:p>
        </w:tc>
        <w:tc>
          <w:tcPr>
            <w:tcW w:w="24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78%</w:t>
            </w:r>
          </w:p>
        </w:tc>
        <w:tc>
          <w:tcPr>
            <w:tcW w:w="2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640</w:t>
            </w:r>
          </w:p>
        </w:tc>
        <w:tc>
          <w:tcPr>
            <w:tcW w:w="8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40" w:type="dxa"/>
            <w:vAlign w:val="bottom"/>
            <w:tcBorders>
              <w:left w:val="single" w:sz="8" w:color="CCEEFF"/>
            </w:tcBorders>
            <w:gridSpan w:val="4"/>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880" w:type="dxa"/>
            <w:vAlign w:val="bottom"/>
            <w:gridSpan w:val="4"/>
          </w:tcPr>
          <w:p>
            <w:pPr>
              <w:ind w:left="360"/>
              <w:spacing w:after="0"/>
              <w:rPr>
                <w:sz w:val="20"/>
                <w:szCs w:val="20"/>
                <w:color w:val="auto"/>
              </w:rPr>
            </w:pPr>
            <w:r>
              <w:rPr>
                <w:rFonts w:ascii="Arial" w:cs="Arial" w:eastAsia="Arial" w:hAnsi="Arial"/>
                <w:sz w:val="18"/>
                <w:szCs w:val="18"/>
                <w:color w:val="auto"/>
              </w:rPr>
              <w:t>License and Other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8"/>
              <w:spacing w:after="0"/>
              <w:rPr>
                <w:sz w:val="20"/>
                <w:szCs w:val="20"/>
                <w:color w:val="auto"/>
              </w:rPr>
            </w:pPr>
            <w:r>
              <w:rPr>
                <w:rFonts w:ascii="Arial" w:cs="Arial" w:eastAsia="Arial" w:hAnsi="Arial"/>
                <w:sz w:val="18"/>
                <w:szCs w:val="18"/>
                <w:color w:val="auto"/>
              </w:rPr>
              <w:t>902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574</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28%</w:t>
            </w: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328</w:t>
            </w:r>
          </w:p>
        </w:tc>
        <w:tc>
          <w:tcPr>
            <w:tcW w:w="1460" w:type="dxa"/>
            <w:vAlign w:val="bottom"/>
            <w:gridSpan w:val="5"/>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8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Royalty 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88"/>
              </w:rPr>
              <w:t>1,317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$1,005</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36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14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4880" w:type="dxa"/>
            <w:vAlign w:val="bottom"/>
            <w:gridSpan w:val="4"/>
          </w:tcPr>
          <w:p>
            <w:pPr>
              <w:spacing w:after="0"/>
              <w:rPr>
                <w:sz w:val="20"/>
                <w:szCs w:val="20"/>
                <w:color w:val="auto"/>
              </w:rPr>
            </w:pPr>
            <w:r>
              <w:rPr>
                <w:rFonts w:ascii="Arial" w:cs="Arial" w:eastAsia="Arial" w:hAnsi="Arial"/>
                <w:sz w:val="18"/>
                <w:szCs w:val="18"/>
                <w:color w:val="auto"/>
              </w:rPr>
              <w:t>Revenue from related parties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8"/>
              <w:spacing w:after="0"/>
              <w:rPr>
                <w:sz w:val="20"/>
                <w:szCs w:val="20"/>
                <w:color w:val="auto"/>
              </w:rPr>
            </w:pPr>
            <w:r>
              <w:rPr>
                <w:rFonts w:ascii="Arial" w:cs="Arial" w:eastAsia="Arial" w:hAnsi="Arial"/>
                <w:sz w:val="18"/>
                <w:szCs w:val="18"/>
                <w:color w:val="auto"/>
              </w:rPr>
              <w:t>484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448</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22%</w:t>
            </w: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36</w:t>
            </w:r>
          </w:p>
        </w:tc>
        <w:tc>
          <w:tcPr>
            <w:tcW w:w="1460" w:type="dxa"/>
            <w:vAlign w:val="bottom"/>
            <w:gridSpan w:val="5"/>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License and Other 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140</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36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4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880" w:type="dxa"/>
            <w:vAlign w:val="bottom"/>
            <w:gridSpan w:val="4"/>
          </w:tcPr>
          <w:p>
            <w:pPr>
              <w:ind w:left="360"/>
              <w:spacing w:after="0"/>
              <w:rPr>
                <w:sz w:val="20"/>
                <w:szCs w:val="20"/>
                <w:color w:val="auto"/>
              </w:rPr>
            </w:pPr>
            <w:r>
              <w:rPr>
                <w:rFonts w:ascii="Arial" w:cs="Arial" w:eastAsia="Arial" w:hAnsi="Arial"/>
                <w:sz w:val="18"/>
                <w:szCs w:val="18"/>
                <w:color w:val="auto"/>
              </w:rPr>
              <w:t>Royalty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8"/>
              <w:spacing w:after="0"/>
              <w:rPr>
                <w:sz w:val="20"/>
                <w:szCs w:val="20"/>
                <w:color w:val="auto"/>
              </w:rPr>
            </w:pPr>
            <w:r>
              <w:rPr>
                <w:rFonts w:ascii="Arial" w:cs="Arial" w:eastAsia="Arial" w:hAnsi="Arial"/>
                <w:sz w:val="18"/>
                <w:szCs w:val="18"/>
                <w:color w:val="auto"/>
              </w:rPr>
              <w:t>245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308</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15%</w:t>
            </w:r>
          </w:p>
        </w:tc>
        <w:tc>
          <w:tcPr>
            <w:tcW w:w="360" w:type="dxa"/>
            <w:vAlign w:val="bottom"/>
            <w:gridSpan w:val="3"/>
          </w:tcPr>
          <w:p>
            <w:pPr>
              <w:ind w:left="28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1460" w:type="dxa"/>
            <w:vAlign w:val="bottom"/>
            <w:gridSpan w:val="5"/>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88"/>
              </w:rPr>
              <w:t>2,703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676</w:t>
            </w:r>
          </w:p>
        </w:tc>
        <w:tc>
          <w:tcPr>
            <w:tcW w:w="14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89</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Total revenues were $2,703 million and $2,027 million for the fiscal years ended March 31, 2022 and 2021, respectively. License and other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revenues were $1,141 million and $714 million for the fiscal years ended March 31, 2022 and 2021, respectively. The increase in license and other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revenues primarily was due to an increase in licensing revenue from three high-value license agreements and as we introduced new approaches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licensing certain of our products to provide more customers with more reasons and more ways to license. Royalty revenues were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$1,562 million and approximately $1,313 million for the fiscal years ended March 31, 2022 and 2021, respectively. The increase in royalty revenues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driven primarily by continued organic growth as a result of higher net ASP per chip and increased adoption of our products by customers in their chips.</w:t>
      </w:r>
    </w:p>
    <w:p>
      <w:pPr>
        <w:spacing w:after="0" w:line="234"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Revenue from external customers increased by $640 million during the fiscal years ended March 31, 2022 as compared to the fiscal year ended March 31, 2021, driven primarily by a $328 million increase in license and other revenues and a $312 million increase in royalty revenues. Revenue from related parties increased by $36 million during the fiscal years ended March 31, 2022 as compared to the fiscal year ended March 31, 2021, primarily driven by a $99 million increase in license and other revenues, which were partially offset by a $63 million decrease in royalty revenues as a result of trade protection and national security policies of the U.S. and PRC governments, which adversely affected PRC semiconductor suppliers and customers.</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During the fiscal years ended March 31, 2022 and 2021 revenues from sales to customers outside of the U.S. accounted for approximately 54% and approximately 58% of total revenues, respectively. Less than 2% of our total revenues are denominated in currencies other than U.S. dollars, and the impact of changes in foreign exchange rates on our revenues and results of operations for the fiscal years ended March 31, 2022 and 2021 was immaterial.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sales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For the Fiscal Year Ended March 31,</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0"/>
                <w:szCs w:val="10"/>
                <w:color w:val="auto"/>
              </w:rPr>
            </w:pPr>
          </w:p>
        </w:tc>
        <w:tc>
          <w:tcPr>
            <w:tcW w:w="10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Change</w:t>
            </w:r>
          </w:p>
        </w:tc>
        <w:tc>
          <w:tcPr>
            <w:tcW w:w="360" w:type="dxa"/>
            <w:vAlign w:val="bottom"/>
          </w:tcPr>
          <w:p>
            <w:pPr>
              <w:spacing w:after="0"/>
              <w:rPr>
                <w:sz w:val="10"/>
                <w:szCs w:val="10"/>
                <w:color w:val="auto"/>
              </w:rPr>
            </w:pPr>
          </w:p>
        </w:tc>
        <w:tc>
          <w:tcPr>
            <w:tcW w:w="82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7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revenue</w:t>
            </w:r>
          </w:p>
        </w:tc>
        <w:tc>
          <w:tcPr>
            <w:tcW w:w="4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3"/>
                <w:szCs w:val="13"/>
                <w:color w:val="auto"/>
              </w:rPr>
            </w:pPr>
          </w:p>
        </w:tc>
        <w:tc>
          <w:tcPr>
            <w:tcW w:w="6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3"/>
              </w:rPr>
              <w:t>(millions)</w:t>
            </w:r>
          </w:p>
        </w:tc>
        <w:tc>
          <w:tcPr>
            <w:tcW w:w="360" w:type="dxa"/>
            <w:vAlign w:val="bottom"/>
          </w:tcPr>
          <w:p>
            <w:pPr>
              <w:spacing w:after="0"/>
              <w:rPr>
                <w:sz w:val="13"/>
                <w:szCs w:val="13"/>
                <w:color w:val="auto"/>
              </w:rPr>
            </w:pPr>
          </w:p>
        </w:tc>
        <w:tc>
          <w:tcPr>
            <w:tcW w:w="1080" w:type="dxa"/>
            <w:vAlign w:val="bottom"/>
            <w:gridSpan w:val="2"/>
          </w:tcPr>
          <w:p>
            <w:pPr>
              <w:jc w:val="right"/>
              <w:ind w:right="170"/>
              <w:spacing w:after="0" w:line="158" w:lineRule="exact"/>
              <w:rPr>
                <w:sz w:val="20"/>
                <w:szCs w:val="20"/>
                <w:color w:val="auto"/>
              </w:rPr>
            </w:pPr>
            <w:r>
              <w:rPr>
                <w:rFonts w:ascii="Arial" w:cs="Arial" w:eastAsia="Arial" w:hAnsi="Arial"/>
                <w:sz w:val="14"/>
                <w:szCs w:val="14"/>
                <w:b w:val="1"/>
                <w:bCs w:val="1"/>
                <w:color w:val="auto"/>
                <w:w w:val="87"/>
              </w:rPr>
              <w:t>(percentages)</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3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33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$(131)</w:t>
            </w:r>
          </w:p>
        </w:tc>
        <w:tc>
          <w:tcPr>
            <w:tcW w:w="44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$(145)</w:t>
            </w:r>
          </w:p>
        </w:tc>
        <w:tc>
          <w:tcPr>
            <w:tcW w:w="44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7%</w:t>
            </w:r>
          </w:p>
        </w:tc>
        <w:tc>
          <w:tcPr>
            <w:tcW w:w="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3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Cost of sales were $131 million and $145 million for the fiscal years ended March 31, 2022 and 2021, respectively. Cost of sales decreased by $14 million during the fiscal year ended March 31, 2022 as compared to the fiscal year ended March 31, 2021, primarily due to decreases in activities associated with professional and design services as well as a decrease in developed technology intangibles asset amortization due to certain assets coming to end of life. This decrease was partially offset by general increases in salaries and related expenses, professional services expenses, among other miscellaneous expenses.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gridSpan w:val="8"/>
            <w:vMerge w:val="restart"/>
          </w:tcPr>
          <w:p>
            <w:pPr>
              <w:jc w:val="right"/>
              <w:ind w:right="840"/>
              <w:spacing w:after="0"/>
              <w:rPr>
                <w:sz w:val="20"/>
                <w:szCs w:val="20"/>
                <w:color w:val="auto"/>
              </w:rPr>
            </w:pPr>
            <w:r>
              <w:rPr>
                <w:rFonts w:ascii="Arial" w:cs="Arial" w:eastAsia="Arial" w:hAnsi="Arial"/>
                <w:sz w:val="14"/>
                <w:szCs w:val="14"/>
                <w:b w:val="1"/>
                <w:bCs w:val="1"/>
                <w:color w:val="auto"/>
                <w:w w:val="94"/>
              </w:rPr>
              <w:t>For the Fiscal Year Ended March 31,</w:t>
            </w:r>
          </w:p>
        </w:tc>
        <w:tc>
          <w:tcPr>
            <w:tcW w:w="18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300" w:type="dxa"/>
            <w:vAlign w:val="bottom"/>
            <w:vMerge w:val="restart"/>
          </w:tcPr>
          <w:p>
            <w:pPr>
              <w:spacing w:after="0"/>
              <w:rPr>
                <w:sz w:val="10"/>
                <w:szCs w:val="10"/>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6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Change</w:t>
            </w:r>
          </w:p>
        </w:tc>
        <w:tc>
          <w:tcPr>
            <w:tcW w:w="3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3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revenue</w:t>
            </w:r>
          </w:p>
        </w:tc>
        <w:tc>
          <w:tcPr>
            <w:tcW w:w="6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3"/>
                <w:szCs w:val="13"/>
                <w:color w:val="auto"/>
              </w:rPr>
            </w:pPr>
          </w:p>
        </w:tc>
        <w:tc>
          <w:tcPr>
            <w:tcW w:w="6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(millions)</w:t>
            </w:r>
          </w:p>
        </w:tc>
        <w:tc>
          <w:tcPr>
            <w:tcW w:w="36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(percentages)</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$(995)</w:t>
            </w:r>
          </w:p>
        </w:tc>
        <w:tc>
          <w:tcPr>
            <w:tcW w:w="42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37%</w:t>
            </w:r>
          </w:p>
        </w:tc>
        <w:tc>
          <w:tcPr>
            <w:tcW w:w="2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$(814)</w:t>
            </w:r>
          </w:p>
        </w:tc>
        <w:tc>
          <w:tcPr>
            <w:tcW w:w="4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40%</w:t>
            </w:r>
          </w:p>
        </w:tc>
        <w:tc>
          <w:tcPr>
            <w:tcW w:w="1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(181)</w:t>
            </w:r>
          </w:p>
        </w:tc>
        <w:tc>
          <w:tcPr>
            <w:tcW w:w="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Research and development expenses were $995 million and $814 million for the fiscal years ended March 31, 2022 and 2021, respectively. Research and development expenses increased by $181 million during the fiscal year ended March 31, 2022 as compared to the fiscal year ended March 31, 2021, primarily due to general increases in salaries and related retention awards, partially offset by decreases in government research grant income due to non-recurring government research grant income recognized in the prior fiscal year.</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Selling, general and administrative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8"/>
            <w:vMerge w:val="restart"/>
          </w:tcPr>
          <w:p>
            <w:pPr>
              <w:jc w:val="right"/>
              <w:ind w:right="1000"/>
              <w:spacing w:after="0"/>
              <w:rPr>
                <w:sz w:val="20"/>
                <w:szCs w:val="20"/>
                <w:color w:val="auto"/>
              </w:rPr>
            </w:pPr>
            <w:r>
              <w:rPr>
                <w:rFonts w:ascii="Arial" w:cs="Arial" w:eastAsia="Arial" w:hAnsi="Arial"/>
                <w:sz w:val="14"/>
                <w:szCs w:val="14"/>
                <w:b w:val="1"/>
                <w:bCs w:val="1"/>
                <w:color w:val="auto"/>
                <w:w w:val="95"/>
              </w:rPr>
              <w:t>For the Fiscal Year Ended March 31,</w:t>
            </w:r>
          </w:p>
        </w:tc>
        <w:tc>
          <w:tcPr>
            <w:tcW w:w="200" w:type="dxa"/>
            <w:vAlign w:val="bottom"/>
          </w:tcPr>
          <w:p>
            <w:pPr>
              <w:spacing w:after="0"/>
              <w:rPr>
                <w:sz w:val="14"/>
                <w:szCs w:val="14"/>
                <w:color w:val="auto"/>
              </w:rPr>
            </w:pPr>
          </w:p>
        </w:tc>
        <w:tc>
          <w:tcPr>
            <w:tcW w:w="1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8"/>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320" w:type="dxa"/>
            <w:vAlign w:val="bottom"/>
            <w:vMerge w:val="restart"/>
          </w:tcPr>
          <w:p>
            <w:pPr>
              <w:spacing w:after="0"/>
              <w:rPr>
                <w:sz w:val="10"/>
                <w:szCs w:val="10"/>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 of</w:t>
            </w:r>
          </w:p>
        </w:tc>
        <w:tc>
          <w:tcPr>
            <w:tcW w:w="6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68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Change</w:t>
            </w:r>
          </w:p>
        </w:tc>
        <w:tc>
          <w:tcPr>
            <w:tcW w:w="3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3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revenue</w:t>
            </w:r>
          </w:p>
        </w:tc>
        <w:tc>
          <w:tcPr>
            <w:tcW w:w="6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revenue</w:t>
            </w:r>
          </w:p>
        </w:tc>
        <w:tc>
          <w:tcPr>
            <w:tcW w:w="6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(percentages)</w:t>
            </w: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$(897)</w:t>
            </w:r>
          </w:p>
        </w:tc>
        <w:tc>
          <w:tcPr>
            <w:tcW w:w="44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33%</w:t>
            </w:r>
          </w:p>
        </w:tc>
        <w:tc>
          <w:tcPr>
            <w:tcW w:w="18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$(826)</w:t>
            </w:r>
          </w:p>
        </w:tc>
        <w:tc>
          <w:tcPr>
            <w:tcW w:w="42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w:t>
            </w:r>
          </w:p>
        </w:tc>
        <w:tc>
          <w:tcPr>
            <w:tcW w:w="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Selling, general and administrative expenses were $897 million and $826 million for the fiscal years ended March 31, 2022 and 2021, respectively. Selling, general and administrative expenses increased by $71 million during the fiscal year ended March 31, 2022 as compared to the fiscal year ended March 31, 2021, primarily due to general increases in salaries and related retention awards, increases in professional services expenses and related charges, cloud infrastructure costs, and provisions for current expected credit losses on accounts receivable. These increases were partially offset by decreases in acquisition related costs, depreciation and amortization and other miscellaneous items.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Impairment of long-lived assets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20" w:type="dxa"/>
            <w:vAlign w:val="bottom"/>
            <w:gridSpan w:val="7"/>
            <w:vMerge w:val="restart"/>
          </w:tcPr>
          <w:p>
            <w:pPr>
              <w:jc w:val="right"/>
              <w:ind w:right="940"/>
              <w:spacing w:after="0"/>
              <w:rPr>
                <w:sz w:val="20"/>
                <w:szCs w:val="20"/>
                <w:color w:val="auto"/>
              </w:rPr>
            </w:pPr>
            <w:r>
              <w:rPr>
                <w:rFonts w:ascii="Arial" w:cs="Arial" w:eastAsia="Arial" w:hAnsi="Arial"/>
                <w:sz w:val="14"/>
                <w:szCs w:val="14"/>
                <w:b w:val="1"/>
                <w:bCs w:val="1"/>
                <w:color w:val="auto"/>
                <w:w w:val="93"/>
              </w:rPr>
              <w:t>For the Fiscal Year Ended March 31,</w:t>
            </w:r>
          </w:p>
        </w:tc>
        <w:tc>
          <w:tcPr>
            <w:tcW w:w="200" w:type="dxa"/>
            <w:vAlign w:val="bottom"/>
          </w:tcPr>
          <w:p>
            <w:pPr>
              <w:spacing w:after="0"/>
              <w:rPr>
                <w:sz w:val="14"/>
                <w:szCs w:val="14"/>
                <w:color w:val="auto"/>
              </w:rPr>
            </w:pPr>
          </w:p>
        </w:tc>
        <w:tc>
          <w:tcPr>
            <w:tcW w:w="1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20" w:type="dxa"/>
            <w:vAlign w:val="bottom"/>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460" w:type="dxa"/>
            <w:vAlign w:val="bottom"/>
            <w:vMerge w:val="restart"/>
          </w:tcPr>
          <w:p>
            <w:pPr>
              <w:spacing w:after="0"/>
              <w:rPr>
                <w:sz w:val="10"/>
                <w:szCs w:val="10"/>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2022</w:t>
            </w:r>
          </w:p>
        </w:tc>
        <w:tc>
          <w:tcPr>
            <w:tcW w:w="3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68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Change</w:t>
            </w:r>
          </w:p>
        </w:tc>
        <w:tc>
          <w:tcPr>
            <w:tcW w:w="3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revenue</w:t>
            </w:r>
          </w:p>
        </w:tc>
        <w:tc>
          <w:tcPr>
            <w:tcW w:w="3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9"/>
              </w:rPr>
              <w:t>revenue</w:t>
            </w:r>
          </w:p>
        </w:tc>
        <w:tc>
          <w:tcPr>
            <w:tcW w:w="6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(percentages)</w:t>
            </w: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2"/>
            <w:vMerge w:val="continue"/>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$(21)</w:t>
            </w:r>
          </w:p>
        </w:tc>
        <w:tc>
          <w:tcPr>
            <w:tcW w:w="3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(3)</w:t>
            </w:r>
          </w:p>
        </w:tc>
        <w:tc>
          <w:tcPr>
            <w:tcW w:w="106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Impairment of long-lived assets was $21 million and $3 million for the fiscal years ended March 31, 2022 and 2021, respectively. Impairment of long-lived assets increased by $18 million during the fiscal year ended March 31, 2022 as compared to the fiscal year ended March 31, 2021, primarily related to impairment of certain property and equipment, intangible assets and operating lease right-of-use assets.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Restructuring and related costs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gridSpan w:val="7"/>
            <w:vMerge w:val="restart"/>
          </w:tcPr>
          <w:p>
            <w:pPr>
              <w:jc w:val="right"/>
              <w:ind w:right="760"/>
              <w:spacing w:after="0"/>
              <w:rPr>
                <w:sz w:val="20"/>
                <w:szCs w:val="20"/>
                <w:color w:val="auto"/>
              </w:rPr>
            </w:pPr>
            <w:r>
              <w:rPr>
                <w:rFonts w:ascii="Arial" w:cs="Arial" w:eastAsia="Arial" w:hAnsi="Arial"/>
                <w:sz w:val="14"/>
                <w:szCs w:val="14"/>
                <w:b w:val="1"/>
                <w:bCs w:val="1"/>
                <w:color w:val="auto"/>
                <w:w w:val="93"/>
              </w:rPr>
              <w:t>For the Fiscal Year Ended 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460" w:type="dxa"/>
            <w:vAlign w:val="bottom"/>
            <w:vMerge w:val="restart"/>
          </w:tcPr>
          <w:p>
            <w:pPr>
              <w:spacing w:after="0"/>
              <w:rPr>
                <w:sz w:val="10"/>
                <w:szCs w:val="10"/>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2022</w:t>
            </w:r>
          </w:p>
        </w:tc>
        <w:tc>
          <w:tcPr>
            <w:tcW w:w="3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 of</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Change</w:t>
            </w:r>
          </w:p>
        </w:tc>
        <w:tc>
          <w:tcPr>
            <w:tcW w:w="3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revenue</w:t>
            </w:r>
          </w:p>
        </w:tc>
        <w:tc>
          <w:tcPr>
            <w:tcW w:w="3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3"/>
                <w:szCs w:val="13"/>
                <w:color w:val="auto"/>
              </w:rPr>
            </w:pPr>
          </w:p>
        </w:tc>
        <w:tc>
          <w:tcPr>
            <w:tcW w:w="6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(percentages)</w:t>
            </w: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Restructuring and related costs</w:t>
            </w: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2"/>
            <w:vMerge w:val="continue"/>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$(26)</w:t>
            </w:r>
          </w:p>
        </w:tc>
        <w:tc>
          <w:tcPr>
            <w:tcW w:w="38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w:t>
            </w:r>
          </w:p>
        </w:tc>
        <w:tc>
          <w:tcPr>
            <w:tcW w:w="40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0%</w:t>
            </w:r>
          </w:p>
        </w:tc>
        <w:tc>
          <w:tcPr>
            <w:tcW w:w="1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Restructuring and related costs were $26 million and zero for the fiscal years ended March 31, 2022 and 2021, respectively. Restructuring and related costs increased by $26 million for the fiscal year ended March 31, 2022 as compared to the fiscal year ended March 31, 2021, primarily due to the announcement of a restructuring plan in March 2022 to align our selling, general and administrative workforce with strategic business activities and to improve efficiencies in our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from equity investments,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8"/>
            <w:vMerge w:val="restart"/>
          </w:tcPr>
          <w:p>
            <w:pPr>
              <w:jc w:val="right"/>
              <w:ind w:right="900"/>
              <w:spacing w:after="0"/>
              <w:rPr>
                <w:sz w:val="20"/>
                <w:szCs w:val="20"/>
                <w:color w:val="auto"/>
              </w:rPr>
            </w:pPr>
            <w:r>
              <w:rPr>
                <w:rFonts w:ascii="Arial" w:cs="Arial" w:eastAsia="Arial" w:hAnsi="Arial"/>
                <w:sz w:val="14"/>
                <w:szCs w:val="14"/>
                <w:b w:val="1"/>
                <w:bCs w:val="1"/>
                <w:color w:val="auto"/>
                <w:w w:val="94"/>
              </w:rPr>
              <w:t>For the Fiscal Year Ended March 31,</w:t>
            </w:r>
          </w:p>
        </w:tc>
        <w:tc>
          <w:tcPr>
            <w:tcW w:w="212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8"/>
            <w:vMerge w:val="continue"/>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right="8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460" w:type="dxa"/>
            <w:vAlign w:val="bottom"/>
            <w:vMerge w:val="restart"/>
          </w:tcPr>
          <w:p>
            <w:pPr>
              <w:spacing w:after="0"/>
              <w:rPr>
                <w:sz w:val="10"/>
                <w:szCs w:val="10"/>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2022</w:t>
            </w:r>
          </w:p>
        </w:tc>
        <w:tc>
          <w:tcPr>
            <w:tcW w:w="4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5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68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Change</w:t>
            </w:r>
          </w:p>
        </w:tc>
        <w:tc>
          <w:tcPr>
            <w:tcW w:w="3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04"/>
              <w:spacing w:after="0" w:line="119" w:lineRule="exact"/>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revenue</w:t>
            </w:r>
          </w:p>
        </w:tc>
        <w:tc>
          <w:tcPr>
            <w:tcW w:w="5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revenue</w:t>
            </w:r>
          </w:p>
        </w:tc>
        <w:tc>
          <w:tcPr>
            <w:tcW w:w="6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(millions)</w:t>
            </w:r>
          </w:p>
        </w:tc>
        <w:tc>
          <w:tcPr>
            <w:tcW w:w="360" w:type="dxa"/>
            <w:vAlign w:val="bottom"/>
          </w:tcPr>
          <w:p>
            <w:pPr>
              <w:spacing w:after="0"/>
              <w:rPr>
                <w:sz w:val="13"/>
                <w:szCs w:val="13"/>
                <w:color w:val="auto"/>
              </w:rPr>
            </w:pPr>
          </w:p>
        </w:tc>
        <w:tc>
          <w:tcPr>
            <w:tcW w:w="1080" w:type="dxa"/>
            <w:vAlign w:val="bottom"/>
            <w:gridSpan w:val="2"/>
          </w:tcPr>
          <w:p>
            <w:pPr>
              <w:jc w:val="right"/>
              <w:ind w:right="170"/>
              <w:spacing w:after="0" w:line="158" w:lineRule="exact"/>
              <w:rPr>
                <w:sz w:val="20"/>
                <w:szCs w:val="20"/>
                <w:color w:val="auto"/>
              </w:rPr>
            </w:pPr>
            <w:r>
              <w:rPr>
                <w:rFonts w:ascii="Arial" w:cs="Arial" w:eastAsia="Arial" w:hAnsi="Arial"/>
                <w:sz w:val="14"/>
                <w:szCs w:val="14"/>
                <w:b w:val="1"/>
                <w:bCs w:val="1"/>
                <w:color w:val="auto"/>
                <w:w w:val="87"/>
              </w:rPr>
              <w:t>(percentages)</w:t>
            </w: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from equity investments, net</w:t>
            </w: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534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$141</w:t>
            </w:r>
          </w:p>
        </w:tc>
        <w:tc>
          <w:tcPr>
            <w:tcW w:w="40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5%</w:t>
            </w:r>
          </w:p>
        </w:tc>
        <w:tc>
          <w:tcPr>
            <w:tcW w:w="2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$476</w:t>
            </w:r>
          </w:p>
        </w:tc>
        <w:tc>
          <w:tcPr>
            <w:tcW w:w="3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(335)</w:t>
            </w:r>
          </w:p>
        </w:tc>
        <w:tc>
          <w:tcPr>
            <w:tcW w:w="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Income from equity investments, net was $141 million and $476 million for the fiscal years ended March 31, 2022 and 2021, respectively. Income from equity investments, net decreased by $335 million for the fiscal year ended March 31, 2022 as compared to the fiscal year ended March 31, 2021, primarily due to unrealized gains related to equity method investments accounted for at fair value, and non-marketable securities.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For the Fiscal Year Ended March 31,</w:t>
            </w:r>
          </w:p>
        </w:tc>
        <w:tc>
          <w:tcPr>
            <w:tcW w:w="600" w:type="dxa"/>
            <w:vAlign w:val="bottom"/>
            <w:vMerge w:val="restart"/>
          </w:tcPr>
          <w:p>
            <w:pPr>
              <w:spacing w:after="0"/>
              <w:rPr>
                <w:sz w:val="14"/>
                <w:szCs w:val="14"/>
                <w:color w:val="auto"/>
              </w:rPr>
            </w:pPr>
          </w:p>
        </w:tc>
        <w:tc>
          <w:tcPr>
            <w:tcW w:w="2080" w:type="dxa"/>
            <w:vAlign w:val="bottom"/>
            <w:gridSpan w:val="4"/>
          </w:tcPr>
          <w:p>
            <w:pPr>
              <w:ind w:left="320"/>
              <w:spacing w:after="0"/>
              <w:rPr>
                <w:sz w:val="20"/>
                <w:szCs w:val="20"/>
                <w:color w:val="auto"/>
              </w:rPr>
            </w:pPr>
            <w:r>
              <w:rPr>
                <w:rFonts w:ascii="Arial" w:cs="Arial" w:eastAsia="Arial" w:hAnsi="Arial"/>
                <w:sz w:val="14"/>
                <w:szCs w:val="14"/>
                <w:b w:val="1"/>
                <w:bCs w:val="1"/>
                <w:color w:val="auto"/>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2021</w:t>
            </w:r>
          </w:p>
        </w:tc>
        <w:tc>
          <w:tcPr>
            <w:tcW w:w="46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Change</w:t>
            </w:r>
          </w:p>
        </w:tc>
        <w:tc>
          <w:tcPr>
            <w:tcW w:w="4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5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89"/>
              </w:rPr>
              <w:t>revenue</w:t>
            </w:r>
          </w:p>
        </w:tc>
        <w:tc>
          <w:tcPr>
            <w:tcW w:w="3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89"/>
              </w:rPr>
              <w:t>revenue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(millions)</w:t>
            </w:r>
          </w:p>
        </w:tc>
        <w:tc>
          <w:tcPr>
            <w:tcW w:w="46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(percentages)</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2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32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$ 2</w:t>
            </w:r>
          </w:p>
        </w:tc>
        <w:tc>
          <w:tcPr>
            <w:tcW w:w="1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2</w:t>
            </w:r>
          </w:p>
        </w:tc>
        <w:tc>
          <w:tcPr>
            <w:tcW w:w="46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Interest income, net was $2 million for each of the fiscal years ended March 31, 2022 and 2021. No material changes in interest income or expenses were realized in the fiscal year ended March 31, 2022 as compared to the fiscal year ended March 31, 2021.</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non-operating income (loss),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For the Fiscal Year Ended March 31,</w:t>
            </w:r>
          </w:p>
        </w:tc>
        <w:tc>
          <w:tcPr>
            <w:tcW w:w="4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180" w:type="dxa"/>
            <w:vAlign w:val="bottom"/>
            <w:vMerge w:val="restart"/>
          </w:tcPr>
          <w:p>
            <w:pPr>
              <w:spacing w:after="0"/>
              <w:rPr>
                <w:sz w:val="10"/>
                <w:szCs w:val="10"/>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 of</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Change</w:t>
            </w:r>
          </w:p>
        </w:tc>
        <w:tc>
          <w:tcPr>
            <w:tcW w:w="360" w:type="dxa"/>
            <w:vAlign w:val="bottom"/>
          </w:tcPr>
          <w:p>
            <w:pPr>
              <w:spacing w:after="0"/>
              <w:rPr>
                <w:sz w:val="10"/>
                <w:szCs w:val="10"/>
                <w:color w:val="auto"/>
              </w:rPr>
            </w:pPr>
          </w:p>
        </w:tc>
        <w:tc>
          <w:tcPr>
            <w:tcW w:w="82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revenue</w:t>
            </w:r>
          </w:p>
        </w:tc>
        <w:tc>
          <w:tcPr>
            <w:tcW w:w="5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3"/>
                <w:szCs w:val="13"/>
                <w:color w:val="auto"/>
              </w:rPr>
            </w:pPr>
          </w:p>
        </w:tc>
        <w:tc>
          <w:tcPr>
            <w:tcW w:w="6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3"/>
              </w:rPr>
              <w:t>(millions)</w:t>
            </w:r>
          </w:p>
        </w:tc>
        <w:tc>
          <w:tcPr>
            <w:tcW w:w="360" w:type="dxa"/>
            <w:vAlign w:val="bottom"/>
          </w:tcPr>
          <w:p>
            <w:pPr>
              <w:spacing w:after="0"/>
              <w:rPr>
                <w:sz w:val="13"/>
                <w:szCs w:val="13"/>
                <w:color w:val="auto"/>
              </w:rPr>
            </w:pPr>
          </w:p>
        </w:tc>
        <w:tc>
          <w:tcPr>
            <w:tcW w:w="1080" w:type="dxa"/>
            <w:vAlign w:val="bottom"/>
            <w:gridSpan w:val="2"/>
          </w:tcPr>
          <w:p>
            <w:pPr>
              <w:jc w:val="right"/>
              <w:ind w:right="170"/>
              <w:spacing w:after="0" w:line="158" w:lineRule="exact"/>
              <w:rPr>
                <w:sz w:val="20"/>
                <w:szCs w:val="20"/>
                <w:color w:val="auto"/>
              </w:rPr>
            </w:pPr>
            <w:r>
              <w:rPr>
                <w:rFonts w:ascii="Arial" w:cs="Arial" w:eastAsia="Arial" w:hAnsi="Arial"/>
                <w:sz w:val="14"/>
                <w:szCs w:val="14"/>
                <w:b w:val="1"/>
                <w:bCs w:val="1"/>
                <w:color w:val="auto"/>
                <w:w w:val="87"/>
              </w:rPr>
              <w:t>(percentages)</w:t>
            </w: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Other non-operating income (loss), net</w:t>
            </w:r>
          </w:p>
        </w:tc>
        <w:tc>
          <w:tcPr>
            <w:tcW w:w="1260" w:type="dxa"/>
            <w:vAlign w:val="bottom"/>
            <w:vMerge w:val="restart"/>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$ 10</w:t>
            </w:r>
          </w:p>
        </w:tc>
        <w:tc>
          <w:tcPr>
            <w:tcW w:w="3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0%</w:t>
            </w:r>
          </w:p>
        </w:tc>
        <w:tc>
          <w:tcPr>
            <w:tcW w:w="18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 (20)</w:t>
            </w:r>
          </w:p>
        </w:tc>
        <w:tc>
          <w:tcPr>
            <w:tcW w:w="44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w:t>
            </w:r>
          </w:p>
        </w:tc>
        <w:tc>
          <w:tcPr>
            <w:tcW w:w="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3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Other non-operating income (loss), net was $10 million and $(20) million for the fiscal years ended March 31, 2022 and 2021, respectively. Other non-operating income (loss), net increased by $30 million for the fiscal year ended March 31, 2022 as compared to the fiscal year ended March 31, 2021, primarily due to realized and unrealized foreign exchanges gains, along with fair value changes in derivative financial instruments and convertible loans receivable, partially offset by realized and unrealized foreign exchange losses.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 expense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For the Fiscal Year Ended March 31,</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0"/>
                <w:szCs w:val="10"/>
                <w:color w:val="auto"/>
              </w:rPr>
            </w:pPr>
          </w:p>
        </w:tc>
        <w:tc>
          <w:tcPr>
            <w:tcW w:w="10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Change</w:t>
            </w:r>
          </w:p>
        </w:tc>
        <w:tc>
          <w:tcPr>
            <w:tcW w:w="360" w:type="dxa"/>
            <w:vAlign w:val="bottom"/>
          </w:tcPr>
          <w:p>
            <w:pPr>
              <w:spacing w:after="0"/>
              <w:rPr>
                <w:sz w:val="10"/>
                <w:szCs w:val="10"/>
                <w:color w:val="auto"/>
              </w:rPr>
            </w:pPr>
          </w:p>
        </w:tc>
        <w:tc>
          <w:tcPr>
            <w:tcW w:w="82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7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revenue</w:t>
            </w:r>
          </w:p>
        </w:tc>
        <w:tc>
          <w:tcPr>
            <w:tcW w:w="4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3"/>
                <w:szCs w:val="13"/>
                <w:color w:val="auto"/>
              </w:rPr>
            </w:pPr>
          </w:p>
        </w:tc>
        <w:tc>
          <w:tcPr>
            <w:tcW w:w="6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3"/>
              </w:rPr>
              <w:t>(millions)</w:t>
            </w:r>
          </w:p>
        </w:tc>
        <w:tc>
          <w:tcPr>
            <w:tcW w:w="360" w:type="dxa"/>
            <w:vAlign w:val="bottom"/>
          </w:tcPr>
          <w:p>
            <w:pPr>
              <w:spacing w:after="0"/>
              <w:rPr>
                <w:sz w:val="13"/>
                <w:szCs w:val="13"/>
                <w:color w:val="auto"/>
              </w:rPr>
            </w:pPr>
          </w:p>
        </w:tc>
        <w:tc>
          <w:tcPr>
            <w:tcW w:w="1080" w:type="dxa"/>
            <w:vAlign w:val="bottom"/>
            <w:gridSpan w:val="2"/>
          </w:tcPr>
          <w:p>
            <w:pPr>
              <w:jc w:val="right"/>
              <w:ind w:right="170"/>
              <w:spacing w:after="0" w:line="158" w:lineRule="exact"/>
              <w:rPr>
                <w:sz w:val="20"/>
                <w:szCs w:val="20"/>
                <w:color w:val="auto"/>
              </w:rPr>
            </w:pPr>
            <w:r>
              <w:rPr>
                <w:rFonts w:ascii="Arial" w:cs="Arial" w:eastAsia="Arial" w:hAnsi="Arial"/>
                <w:sz w:val="14"/>
                <w:szCs w:val="14"/>
                <w:b w:val="1"/>
                <w:bCs w:val="1"/>
                <w:color w:val="auto"/>
                <w:w w:val="87"/>
              </w:rPr>
              <w:t>(percentages)</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33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$(110)</w:t>
            </w:r>
          </w:p>
        </w:tc>
        <w:tc>
          <w:tcPr>
            <w:tcW w:w="44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$(153)</w:t>
            </w:r>
          </w:p>
        </w:tc>
        <w:tc>
          <w:tcPr>
            <w:tcW w:w="44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8%</w:t>
            </w:r>
          </w:p>
        </w:tc>
        <w:tc>
          <w:tcPr>
            <w:tcW w:w="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3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Income tax expense was $110 million and $153 million for the fiscal years ended March 31, 2022 and 2021, respectively. Our effective tax rate for the fiscal years ended March 31, 2022 and 2021 was 14% and 22%, respectively. In the fiscal year ended March 31, 2022, our effective tax rate decreased by approximately 8%, primarily due to significant unrecoverable withholding taxes as a result of insufficient specific U.K. profits in the fiscal year ended March 31, 2021 and increased profits qualifying for the U.K. patent box regime in the fiscal year ended March 31, 2022.</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measure liquidity in terms of our ability to fund with cash flows from operations and other sources of funding our cash obligations as they become due, including requirements of our business operations, working capital requirements, capital expenditures, contractual obligations, acquisitions and investments, and other commitments. We have financed our operations primarily through cash generated from our business operations, partially supported by government research grants and tax credits. For the fiscal years ended March 31, 2022 and 2021, the government research grant and tax credits benefits recognized was approximately $84 million and approximately $94 million, respectively. As of March 31, 2022, we had cash and cash equivalents of approximately $1,004 million and short-term investments of $631 million.</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believe that our cash and cash equivalents and short-term investments will be adequate to meet our liquidity requirements for at least the 12 months following the date of this prospectus and in the longer term. Our future capital requirements will depend on several factors, including our revenue growth, the timing and extent of spending on R&amp;D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 See “Risk Factors—Risks Relating to Our Business and Industry.”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color w:val="auto"/>
                <w:w w:val="98"/>
              </w:rPr>
              <w:t>(in millions)</w:t>
            </w:r>
          </w:p>
        </w:tc>
        <w:tc>
          <w:tcPr>
            <w:tcW w:w="518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Fiscal Years Ended March 31,</w:t>
            </w: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458</w:t>
            </w: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(656)</w:t>
            </w:r>
          </w:p>
        </w:tc>
        <w:tc>
          <w:tcPr>
            <w:tcW w:w="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(17)</w:t>
            </w:r>
          </w:p>
        </w:tc>
        <w:tc>
          <w:tcPr>
            <w:tcW w:w="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(210)</w:t>
            </w:r>
          </w:p>
        </w:tc>
        <w:tc>
          <w:tcPr>
            <w:tcW w:w="8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1,214</w:t>
            </w:r>
          </w:p>
        </w:tc>
        <w:tc>
          <w:tcPr>
            <w:tcW w:w="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1,004</w:t>
            </w:r>
          </w:p>
        </w:tc>
        <w:tc>
          <w:tcPr>
            <w:tcW w:w="8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Less cash from discontinued operations, end of the year</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from continuing operations, end of the year</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1,004</w:t>
            </w:r>
          </w:p>
        </w:tc>
        <w:tc>
          <w:tcPr>
            <w:tcW w:w="8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Net cash provided by operating activities decreased by $775 million to $458 million for the fiscal year ended March 31, 2022, primarily due to changes in working capital resulting from a one-time $750 million non-cancellable and non-refundable prepayment from a large technology customer, which was received in the fiscal year ended March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for 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for investing activities increased by $278 million to $656 million for the fiscal year ended March 31, 2022, primarily due to</w:t>
      </w:r>
    </w:p>
    <w:p>
      <w:pPr>
        <w:spacing w:after="0" w:line="35"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$380 million of purchases of short-term investments and $31 million of purchases of investments in convertible loans, partially offset by a $91 million decrease in purchases of property, plant and equipment and intangible assets and a $42 million decrease in purchases of equity investments.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for) Financing Activities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Net cash provided by financing activities increased by $756 million to $5 million for the fiscal year ended March 31, 2022, primarily due to a $750 million dividend payment to our shareholders in the fiscal year ended March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material cash requirements include the following contractual and other obligations.</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320" w:top="459" w:right="6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operating lease arrangements for office space, data centers, equipment and other corporate assets. As of March 31, 2022, we had lease payment obligations of $312 million, with $37 million payable within twelve months of March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Non-Recourse Facility</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March 2022, certain subsidiaries of SoftBank entered into a non-recourse term loan facility with certain lenders, which was amended and upsized in June 2022, pursuant to which a subsidiary of SoftBank borrowed $8.5 billion, all of which remains outstanding as of the date of this prospectus. In connection with such term loan facility, a subsidiary of SoftBank pledged its entire interest in us, consisting of 75.01% of our ordinary shares, as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In March 2022, we announced a restructuring plan to align our workforce with strategic business activities and to improve efficiencies in our operations. As a result of the restructuring plan, we recognized a liability of $26 million, which is entirely related to estimated one-time employee termination benefit costs. The restructuring activities were substantially completed in the first two quarters of the fiscal year ended March 31, 2023.</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consolidated financial statements.</w:t>
      </w:r>
    </w:p>
    <w:p>
      <w:pPr>
        <w:spacing w:after="0" w:line="19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believe that, of our significant accounting policies, which are described in Note 1 to our consolidated financial statements included elsewhere in this prospectus, the following accounting policies involve a greater degree of management judgment and complexity. Accordingly, the following policies we believe are the most critical to aid in fully understanding and evaluating our consolidated financial condition, results of operations, and cash flows.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revenue is derived from contracts with customers. We recognize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the five-step framework under ASC 606 to recognize revenue as described in our revenue recognition policy included in Note 1 of our consolidated financial statements included elsewhere in this prospectus.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most critical judgments required in applying ASC 606 and our revenue recognition policy relate to the determination of distinct performance obligations, the evaluation of the standalone selling price (“SSP”) for each performance obligation and the assessment of the contract combination criteria.</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40"/>
          </w:cols>
          <w:pgMar w:left="320" w:top="459" w:right="5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Determination of distinct performance obligations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For our licensing arrangements, we grant customers the choice to acquire additional rights, goods, or services at contract inception (for example, renewals of offerings, version extensions through term renewals, additional future products, or additional usage of term license). Therefore, judgment is required in determining whether products and services are considered distinct performance obligations that should be accounted for separately. We utilize forward-looking information in identifying performance obligations for IP or their version extensions of architecture IP under development or future products and in considering if implicit promises exist in certain long-term contracts.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the standalone selling price for each performance obligation</w:t>
      </w:r>
    </w:p>
    <w:p>
      <w:pPr>
        <w:spacing w:after="0" w:line="117"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Judgment is required to determine the SSP for each distinct performance obligation in the contract. Directly observable prices are generally not available for our products, so we estimate the SSP for each performance obligation by maximizing the use of observable inputs. Some of our performance obligations, such as support, maintenance services, and training services, have observable inputs that are used to determine the SSP of those distinct performance obligations. However, our licenses of products often have highly variable pricing as standalone sales are rare and pricing varies from one transaction to another. When offerings with highly variable pricing lack substantial direct costs to estimate SSP based on a cost-plus margin approach, the transaction price is allocated using the residual approach on the basis that we have identified the SSP for other performance obligations in the same contract. If two or more performance obligations have highly variable or uncertain pricing, we apply a combination of methods to estimate the SSPs, including utilizing list prices, contract prices, and effort estimates of future IP.</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Assessment of contract combination criteria</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certain instances, we enter into multiple contracts with the same customer that are treated, for accounting purposes, as a single contract if the contracts are entered into at, or near, the same time and are interrelated. Judgments are required in evaluating whether various contracts are interrelated, which includes considerations as to whether they were negotiated as a package with a single commercial objective, where the amount of consideration on one contract is dependent on the performance of the other contract, or if some or all obligations in the contracts constitute a single performance obligation.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Estimates on sales-based royalty revenue accruals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For certain license arrangements, sales-based royalties are collected on customers’ chips that incorporate our products. Royalties are set either as a percentage of the licensee’s net sale price per chip or as a fixed amount per chip. Royalties are recognized on the licensee’s sales in the period in which they ship their Arm-powered chips to their end customers. Our estimates of royalty-based accruals take into consideration the macroeconomic effects of global events, such as COVID-19, geopolitical issues (such as trade bans or wars), and natural disasters, any of which may interrupt supply chain activities as well as demand for shipments of technology products. These estimates also involve the use of historical data and judgment for several key attributes, including industry estimates of expected shipments, the percentage of markets using our products, and net sale prices. Generally, our estimates represent the then-current period’s shipments for which we expect our licensees to submit royalty statements in the following quarter in accordance with our license agreements. Upon receipt of royalty statements from the licensees with the actual reporting of sales-based royalties that we previously estimated, we record a favorable or unfavorable adjustment based on the difference, if any, between estimated and actual sales. Historically, actual amounts for sales-based royalties have been materially consistent with our estimates, and no significant adjustments have been required for prior-period royalty estimates. However, we can provide no assurances that material adjustments will not be required in future periods.</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Equity Investments Measured at Fair Value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Non-marketable securities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Non-marketable securities represent either direct or indirect, through a capital fund, investments in unlisted early-stage development enterprises. For certain of these securities, we have elected to apply the net asset value (“NAV”) practical expedient, where NAV is the estimated fair value of the investments. For other investments, under the measurement alternative, these equity securities are recorded at cost minus impairment, if any, plus or minus changes resulting from qualifying observable price changes resulting from the issuance of similar or identical securities in an orderly transaction by the same issuer. Non-marketable securities measured at NAV were $29 million as of March 31, 2022.</w:t>
      </w:r>
    </w:p>
    <w:p>
      <w:pPr>
        <w:spacing w:after="0" w:line="16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Determining whether an observed transaction is similar to a security within our portfolio requires judgment based on the rights and preferences of the securities. Recording upward and downward adjustments to the carrying values of equity securities as a result of observable price changes requires quantitative assessments of the fair values of equity securities held.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Equity method investments represent strategic investments in unlisted development enterprises. For certain of these investments, we have elected to apply the fair value option. Where applicable, the NAV practical expedient has been applied. Equity method investments measured at NAV was $107 million as of March 31, 2022. Equity method investments measured at fair value as of March 31, 2022 was $524 million.</w:t>
      </w:r>
    </w:p>
    <w:p>
      <w:pPr>
        <w:spacing w:after="0" w:line="16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elected the fair value option for Arm China, Acetone Limited, and Ampere. We initially computed the fair value for our investments, consistent with the methodology and assumptions that market participants would use in their estimates of fair value, with the assistance of a third-party valuation specialist or based on inputs provided by the investee. The fair value computation is updated on a quarterly basis. The investments are classified within Level 3 in the fair value hierarchy because we estimate the fair value of the investments using the (i) the market approach based on similar transactions, (ii) the market-calibration approach based on the guideline public company method and/or (iii) subject to the availability of sufficient information, the income approach based on the discounted cash flow method.</w:t>
      </w:r>
    </w:p>
    <w:p>
      <w:pPr>
        <w:spacing w:after="0" w:line="178"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We consider numerous objective and subjective factors to determine the best estimate of fair value for our investees. These factors include forecasts, the financial condition of the investee and the prices paid for securities sold to third-party investors, if any, as well as the valuation of comparable companies.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Impairment of investments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Non-marketable equity securities under the measurement alternative are subject to periodic impairment analysis. The periodic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we prepare a quantitative assessment of the fair value of the equity investments using both the market and income approaches, which require judgment and the use of estimates, including discount rates, investee revenue and costs, and comparable market data of private and public companies, among others. During the fiscal years ended March 31, 2022 and 2021, we recognized impairments of $3 million and $21 million, respectively, on non-marketable equity securities.</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Equity method investments not measured under the fair value option are subject to periodic impairment reviews using the other-than-temporary impairment model, which considers the severity and duration of a decline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fair value below cost and our ability and intent to hold the investment for a sufficient period of time to allow for recovery. We did not recognize any impairments on equity method investments during the fiscal years ended March 31, 2022 or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 Valuations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Prior to this offering, given the absence of a public trading market for our ordinary shares, our Board of Directors exercised its reasonable judgment and considered numerous objective and subjective factors to determine the best estimate of fair value of our ordinary shares underlying RSUs, Executive Awards and phantom shares awarded to employees and non-executive directors as equity compensation, including:</w:t>
      </w:r>
    </w:p>
    <w:p>
      <w:pPr>
        <w:spacing w:after="0" w:line="7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contemporaneous independent third-party valuations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lack of marketability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estimates of future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performance and valuations of comparable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status of our development, product introduction, and sales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industry outlook and other information, such as market growth and volume and macro-economic events;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our business.</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To determine the fair value of our ordinary shares, we first estimated our enterprise value and then allocated that enterprise value to our ordinary shares and ordinary share equivalents. Our enterprise value was estimated using the income and market-calibration approaches.</w:t>
      </w:r>
    </w:p>
    <w:p>
      <w:pPr>
        <w:spacing w:after="0" w:line="146"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we prepared a financial forecast to be used in the computation of the value of invested capital for both the income approach and market-calibration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7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market-calibration under GAAP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expense share-based compensation over the requisite service periods of the awards, which generally is equivalent to the vesting term. Compensation expense is recorded only for those equity awards that are expected</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to vest. The fair value of RSUs is determined on the date of grant and at the end of each reporting period using Monte Carlo simulations or the discounted cash flow approach. The fair value of phantom shares is determined based on the share price of our ultimate parent, SoftBank. We classify equity awards that can and will be settled in cash as liabilities in our consolidated balance sheets. Both RSUs and phantom shares are liability-classified and are remeasured at the end of each reporting period through the date of settlement to ensure that the expense recognized for each award is equivalent to the amount to be paid in cash.</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Share Units (RSUs)—2019 AEP and 2019 EIP</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RSUs are granted to both employees and certain members of our Executive Committee and vesting is subject to continuous service, the achievement of market condition targets, and are contingent upon the occurrence of various liquidity events comprising a change in control, an initial public offering, or the passage of time. At the discretion of the Remuneration Committee of our Board of Directors and upon the occurrence of a change in control or an initial public offering, each RSU converts into one ordinary share on the vesting date. If no change in control or initial public offering were to occur before December 31, 2025, each RSU would be settled in cash, subject to achievement of certain market condition targets. The market condition targets are related to our valuation upon each liquidity event. The weighted average fair value of the RSUs was measured at each reporting date using the Monte Carlo simulation model.</w:t>
      </w:r>
    </w:p>
    <w:p>
      <w:pPr>
        <w:spacing w:after="0" w:line="17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Monte Carlo simulation model simulates our equity value at an assumed listing exit event in order to determine the RSU vesting percentage. The model simulates the RSU vesting percentage over one million iterations, and the average of all iterations is the fair value of an RSU. The model then discounts the future value of RSU at the assumed listing exit event date back to the valuation date based on the risk-free rate. The Monte Carlo simulation model incorporates various assumptions such as expected share price volatility until a liquidity event, expected dividend yield, risk-free interest rate, and expected time to an initial public offering.</w:t>
      </w:r>
    </w:p>
    <w:p>
      <w:pPr>
        <w:spacing w:after="0" w:line="18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We did not have any payments arising from normal course vesting events for liability-classified RSU awards for the fiscal years ended March 31, 2022 and 2021. As of March 31, 2022, the RSUs under the 2019 AEP or the Executive IPO Plan 2019 (the “2019 EIP”) have not vested, as a change in control or an initial public offering was not probable during such period and the 2019 AEP RSUs would only be settled in cash upon the passage of time and achievement of a certain market condition target. Upon completion of this offering, we expect to recognize share-based compensation expense of</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approximately $ for which the service-based vesting condition was satisfied or partially satisfied as of , 2023 and for which we expect the liquidity-based vesting condition to be satisfied in connection with this offering. Upon the completion of this offering, it is our intent to no longer settle the RSUs in cash but instead to settle the RSUs in shares. This will result in a change to the classification of the RSUs from liability-classified to equity-classified awards. As a result, the liability for the RSUs will be reclassified to additional paid-in capital as of the date this offering is completed, and the unvested awards will be accounted for as equity-classified awards.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Goodwill is recorded as the excess of consideration transferred over the acquisition-date fair values of assets acquired and liabilities assumed. We have identified one reporting unit. We perform an annual impairment assessment in the fourth fiscal quarter or more frequently if indicators of potential impairment exist, which includes evaluating qualitative and quantitative factors to assess the likelihood of an impairment of the reporting unit’s goodwill. If our assessment concludes that it is more likely than not that the fair value is more than its carrying value of our reporting unit, goodwill is not considered impaired and we are not required to perform the quantitative goodwill impairment test.</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our impairment assessment concludes that it is more likely than not that the fair value is less than its carrying value, we perform the quantitative goodwill impairment test, which compares the fair value of the reporting unit to its carrying value. Impairments, if any, are based on the excess of the carrying amount over the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fair value. Our goodwill impairment test considers the income method and/or market method to estimate a reporting unit’s fair value. Significant judgments are required in assessing impairment of goodwill include the identification of reporting units, estimating future cash flows, determining appropriate discount and growth rates and other assumptions. Changes in these estimates and assumptions could materially affect the determination of fair value, whether an impairment exists and if so the amount of that impairment.</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completed our annual goodwill impairment test in the fourth quarter of the fiscal years ended March 31, 2022 and 2021. It was determined, after performing a qualitative review, that it is not more likely than not that the fair value of our single reporting unit was less than its carrying amount. Accordingly, there was no indication of impairment, and the quantitative goodwill impairment test was not performed.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are subject to income taxes in the United Kingdom and other foreign jurisdictions. We account for deferred taxes by using the asset and liability method under GAAP. Under this method, we determine deferred tax assets and liabilities based on temporary differences between the financial reporting and the tax bases of assets and liabilities. Deferred tax assets and liabilities are measured using the enacted tax rates and laws that are expected to be in effect when the differences are expected to reverse. We recognize a deferred tax asset when it is more likely than not that the asset will be realized. We regularly review our deferred tax assets for recoverability and establish a valuation allowance based upon historical losses, projected future taxable income and the expected timing of the reversals of existing temporary differences. To the extent we increase or decrease the allowance in a period, we recognize the change in the allowance within “Income tax expense” in the consolidated income statement. Unforeseen changes in tax rates and tax laws, as well as differences in the projected taxable income as compared to actual taxable income, may affect these estimates.</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provision for income taxes includes the impact of reserve provisions and changes to reserves as well as the related net interest and penalties. In addition, we are subject to the continuous examination of our income tax returns by the United Kingdom and other tax authorities that may assert assessments against us. We regularly assess the likelihood of adverse outcomes resulting from these examinations and assessments to determine the adequacy of our provision for income taxes.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For a summary of recent accounting pronouncements and the anticipated effects on our consolidated financial statements, see Note 2 to our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Note 1 to our consolidated financial statements included elsewhere in this prospectus for additional details.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exposed to interest rate risk arising on interest-bearing assets that we hold, including cash and cash equivalents, short-term investments, and loans receivable. As of March 31, 2022, a hypothetical 1% increase or decrease in interest rates would have an approximate $12 million (positive or negative, as applicable) impact on our operating results in the consolidated financial statements for the fiscal year ended March 31, 2022.</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We are exposed to foreign exchange risk in respect of our revenues and expenses where our revenues and expenses are denominated in a currency other than the functional currency of the transacting entity. We mitigate a proportion of this risk through the use of currency forward contracts.</w:t>
      </w:r>
    </w:p>
    <w:p>
      <w:pPr>
        <w:spacing w:after="0" w:line="12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Translational exposure arises on the revaluation of net investments in the consolidated financial statements, where these are not denominated in U.S. dollars and on loans to subsidiaries in currencies other than our functional currency. As of March 31, 2022, a hypothetical 10% increase or decrease in the relative value of U.S. dollars to Pound Sterling would have an approximate $12 million (positive or negative, as applicable) effect on our operating results in the consolidated financial statements for the fiscal year ended March 31, 2022.</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North Star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Building the future of computing, on Arm. Together. For everyone.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Arm is defining the future of computing. Semiconductor technology has become one of the world’s most critical resources as it enables all electronic devices today. At the heart of these devices is the CPU, and Arm is the industry leader of CPUs. We architect, develop, and license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as of January 2023, and more than 250 billion chips, cumulatively, powering everything from the tiniest of sensors to the most powerful supercomputers. 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We estimate that approximately 70% of the world’s population uses Arm-based products, and the scale of Arm’s reach continues to expand, with more than 30 billion Arm-based chips reported as shipped in the fiscal year ended March 31, 2023 alone.</w:t>
      </w:r>
    </w:p>
    <w:p>
      <w:pPr>
        <w:spacing w:after="0" w:line="166"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Today, any company can make a modern computer chip through the unique combination of our energy-efficient CPU IP and related technologies and our unmatched ecosystem of technology partners, and do it cost effectively with our flexible business model. Each CPU product can be licensed to multiple companies, leading to economies of scale that allow us to charge each licensee only a fraction of what it would cost them to develop internally, while minimizing their risk and time-to-market. With the complexity of CPU design increasing exponentially over the past decade, no company has successfully designed a modern CPU from scratch. We have been innovating at the forefront of compute technology for decades and have established important relationships with the companies driving the future of computing across multiple industries. More than 260 companies reported that they had shipped Arm-based chips in the fiscal year ended March 31, 2023, and our customers include the largest technology companies globally, major semiconductor chip vendors, automotive industry incumbents, including leading auto suppliers, IoT innovators, and more.</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exponential rise in smart devices in both consumer and enterprise markets has increased the demand for chips that provide more computational capability while optimizing power efficiency. Thirty years ago, the PC was the only computer with which most people would interact at home, work, or school. Then, mobile phones became computers in our pockets and digital TVs became computers in our living rooms. Now, vehicles are effectively computers on wheels, and servers and networking equipment are the computers that connect devices and services together. Additionally, there are billions of tiny low-cost devices – from sensors to electric motor controllers – that are now functionally computers, as well. Each of these computers needs at least one CPU and in many cases more than one. This trend has driven the dramatic growth of Arm-based chips over the past several years.</w:t>
      </w:r>
    </w:p>
    <w:p>
      <w:pPr>
        <w:spacing w:after="0" w:line="19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have enabled the mobile phone and smartphone revolution, and our creation of the Arm CPU architecture, the world’s most widely used CPU architecture, has resulted in the proliferation and evolution of computers as people know them today, advancing a paradigm of increasing compute performance coupled with industry-leading power efficiency. Through our focus on energy efficiency and our history of continuous innovation, we have enabled new categories of “smart” consumer electronics and are redefining what is possible in industries such as cloud computing, automotive, and IoT. Today, efficiency is not only important for business, but it is also a critical component in achieving sustainability for our planet. This makes Arm CPU technology ideal for current and future computing applications as the demands for compute performance are growing exponentially while the need for low power and efficiency remains critical.</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 xml:space="preserve">Every CPU has an ISA, which defines the software instructions that can be executed by the CPU, essentially the </w:t>
      </w:r>
      <w:r>
        <w:rPr>
          <w:rFonts w:ascii="Arial" w:cs="Arial" w:eastAsia="Arial" w:hAnsi="Arial"/>
          <w:sz w:val="17"/>
          <w:szCs w:val="17"/>
          <w:i w:val="1"/>
          <w:iCs w:val="1"/>
          <w:color w:val="auto"/>
        </w:rPr>
        <w:t>lingua franca</w:t>
      </w:r>
      <w:r>
        <w:rPr>
          <w:rFonts w:ascii="Arial" w:cs="Arial" w:eastAsia="Arial" w:hAnsi="Arial"/>
          <w:sz w:val="17"/>
          <w:szCs w:val="17"/>
          <w:color w:val="auto"/>
        </w:rPr>
        <w:t xml:space="preserve"> for software developers to use. The ISA sets the foundation for a large library of compatible software which runs on those CPUs. As the Arm CPU is the most popular and pervasive CPU in history, the Arm ISA is also the most popular and pervasive ISA in history. This means that Arm-based chips have a global community of software developers familiar with how to program the CPU. Chip designers utilizing the Arm CPU can add desired functionality (Wi-Fi connectivity, image processing, video processing, </w:t>
      </w:r>
      <w:r>
        <w:rPr>
          <w:rFonts w:ascii="Arial" w:cs="Arial" w:eastAsia="Arial" w:hAnsi="Arial"/>
          <w:sz w:val="17"/>
          <w:szCs w:val="17"/>
          <w:i w:val="1"/>
          <w:iCs w:val="1"/>
          <w:color w:val="auto"/>
        </w:rPr>
        <w:t>etc</w:t>
      </w:r>
      <w:r>
        <w:rPr>
          <w:rFonts w:ascii="Arial" w:cs="Arial" w:eastAsia="Arial" w:hAnsi="Arial"/>
          <w:sz w:val="17"/>
          <w:szCs w:val="17"/>
          <w:color w:val="auto"/>
        </w:rPr>
        <w:t>.) to create an SoC to meet the needs of any end market.</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Beyond our product offerings, our development tools and robust software ecosystem have further solidified our position as the world’s most widely adopted processor architecture and have created a virtuous cycle of adoption, meaning that more chips have been based on Arm technology than any other compute architecture in the world, making Arm the foundation for software developers globally.</w:t>
      </w:r>
    </w:p>
    <w:p>
      <w:pPr>
        <w:spacing w:after="0" w:line="19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This combination of pervasiveness and ease of portability has resulted in our CPU designs having the world’s richest software ecosystem, built in partnership with the leading operating systems providers, software tools and game engine vendors, and application developers. We also support a flourishing ecosystem of third-party tool vendors for embedded software and a vibrant IoT ecosystem. Open-source software plays a vital role in the success of Arm-based chips, and we are committed to contributing to open-source software and tools to ensure our offerings are optimized for the latest technologies.</w:t>
      </w:r>
    </w:p>
    <w:p>
      <w:pPr>
        <w:spacing w:after="0" w:line="18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As the world moves increasingly towards AI- and ML-enabled computing, Arm will be central to this transition. Arm CPUs already run AI and ML workloads in billions of devices, including smartphones, cameras, and digital TVs. The CPU is vital in all AI systems, whether it is handling the AI workload entirely or in combination with a co-processor, such as a GPU or an NPU. In the emerging area of large language models, generative AI and autonomous driving, there will be heightened emphasis on the low power acceleration of these algorithms. In our latest ISA, CPUs, and GPUs, we have added new functionality and instructions to accelerate future AI and ML algorithms.</w:t>
      </w:r>
    </w:p>
    <w:p>
      <w:pPr>
        <w:spacing w:after="0" w:line="176"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Arm had 5,963 full-time employees across North America, Europe and Asia as of March 31, 2023. We are an engineering-first company, with approximately 80% of our global employees, as of March 31, 2023, focused on research, design, and technical innovation, and we have global operations and research and development centers in the U.K, Europe, North America, India, and Asia-Pacific. Our headquarters are located in Cambridge, U.K.</w:t>
      </w:r>
    </w:p>
    <w:p>
      <w:pPr>
        <w:spacing w:after="0" w:line="18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For the fiscal year ended March 31, 2022, our total revenue grew by 33%, to $2,703 million, from $2,027 million in the fiscal year ended March 31, 2021. In the fiscal year ended March 31, 2022, as a percentage of total revenues, our gross profit margin was 95% and operating income margin was 23% compared to 93% and 12%, respectively, in the fiscal year ended March 31, 2021. In the fiscal year ended March 31, 2022, we generated net income from continuing operations of $676 million (Non-GAAP net income from continuing operations of $663 million), compared to $544 million (Non-GAAP net income from continuing operations of $207 million) in the fiscal year ended March 31, 2021.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Journey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Established in 1990, Arm began as a joint venture between Acorn Computers, Apple Computer, and VLSI Technology. We were publicly listed on the London Stock Exchange and the Nasdaq Stock Market from 1998 until 2016, when we were taken private by SoftBank, our controlling shareholder.</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original joint venture set out to develop a processor that was high performance, power efficient, easy to program, and readily scalable – a goal that continues to define Arm today. One of the first Arm-based products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was a predecessor of today’s tablets. As a battery-powered device, it required an energy efficient chip to maximize its battery life while providing the necessary compute capabilities. This product benefited from Arm’s clear focus on efficient CPU design. Our CPUs initially gained significant traction in mobile phones in the mid-1990s because our energy-efficient processors provided an appropriate level of performance while consuming little power, which was critical for these smaller form factor devices. As the mobile phone market continued to grow rapidly, more semiconductor companies entered the market. All these companies needed to source high-performance, energy-efficient processors to run their mobile phone software, and many of them licensed Arm CPU products. Over time, mobile phones, and the chips they used, became more advanced and ultimately evolved into the smartphones that are prevalent today. The Arm CPU proved to be critical in enabling the smartphone revolution.</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the same evolution.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Evolution</w:t>
      </w:r>
    </w:p>
    <w:p>
      <w:pPr>
        <w:spacing w:after="0" w:line="117" w:lineRule="exact"/>
        <w:rPr>
          <w:sz w:val="20"/>
          <w:szCs w:val="20"/>
          <w:color w:val="auto"/>
        </w:rPr>
      </w:pPr>
    </w:p>
    <w:p>
      <w:pPr>
        <w:jc w:val="both"/>
        <w:ind w:left="120" w:right="280" w:firstLine="440"/>
        <w:spacing w:after="0" w:line="301" w:lineRule="auto"/>
        <w:rPr>
          <w:sz w:val="20"/>
          <w:szCs w:val="20"/>
          <w:color w:val="auto"/>
        </w:rPr>
      </w:pPr>
      <w:r>
        <w:rPr>
          <w:rFonts w:ascii="Arial" w:cs="Arial" w:eastAsia="Arial" w:hAnsi="Arial"/>
          <w:sz w:val="16"/>
          <w:szCs w:val="16"/>
          <w:color w:val="auto"/>
        </w:rPr>
        <w:t>Since becoming a private company in 2016, we have made significant investments to further develop and market our products to build on our success in powering the world’s smartphones and other consumer electronic devices. We have focused in recent years on making Arm the ubiquitous provider of compute technology in all market segments by expanding into new markets, including, but not limited to, cloud computing, networking, automotive, and IoT, most of which have strong secular tailwinds. Our investments have resulted in a diversified business with more durable growth.</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elements of our evolution included:</w:t>
      </w:r>
    </w:p>
    <w:p>
      <w:pPr>
        <w:spacing w:after="0" w:line="131" w:lineRule="exact"/>
        <w:rPr>
          <w:sz w:val="20"/>
          <w:szCs w:val="20"/>
          <w:color w:val="auto"/>
        </w:rPr>
      </w:pPr>
    </w:p>
    <w:p>
      <w:pPr>
        <w:ind w:left="1080" w:right="40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Creating a Market-Led Business with Products Optimized for Specific Verticals. </w:t>
      </w:r>
      <w:r>
        <w:rPr>
          <w:rFonts w:ascii="Arial" w:cs="Arial" w:eastAsia="Arial" w:hAnsi="Arial"/>
          <w:sz w:val="18"/>
          <w:szCs w:val="18"/>
          <w:color w:val="auto"/>
        </w:rPr>
        <w:t>We have developed multiple product families,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markets such as smartphones, cloud computing, networking, automotive and IoT.</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the New Armv9 Architecture. </w:t>
      </w:r>
      <w:r>
        <w:rPr>
          <w:rFonts w:ascii="Arial" w:cs="Arial" w:eastAsia="Arial" w:hAnsi="Arial"/>
          <w:sz w:val="18"/>
          <w:szCs w:val="18"/>
          <w:color w:val="auto"/>
        </w:rPr>
        <w:t>Leveraging the progress made by previous generations of our products, we embarked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the Armv9 architecture, the ninth version of the Arm ISA. Today, the Armv9 architecture powers CPUs that offer improved security and performance across various applications. Consequently, the Armv9 architecture has the potential to drive our royalty opportunity per device even higher.</w:t>
      </w:r>
    </w:p>
    <w:p>
      <w:pPr>
        <w:spacing w:after="0" w:line="92"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Broadening our Compute Platforms. </w:t>
      </w:r>
      <w:r>
        <w:rPr>
          <w:rFonts w:ascii="Arial" w:cs="Arial" w:eastAsia="Arial" w:hAnsi="Arial"/>
          <w:sz w:val="17"/>
          <w:szCs w:val="17"/>
          <w:color w:val="auto"/>
        </w:rPr>
        <w:t>We have curated, integrated, and optimized our CPU and system-design components together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foundational compute platforms to deliver best-in-class performance and energy efficiency for our customers.</w:t>
      </w:r>
    </w:p>
    <w:p>
      <w:pPr>
        <w:spacing w:after="0" w:line="51" w:lineRule="exact"/>
        <w:rPr>
          <w:rFonts w:ascii="Arial" w:cs="Arial" w:eastAsia="Arial" w:hAnsi="Arial"/>
          <w:sz w:val="17"/>
          <w:szCs w:val="17"/>
          <w:color w:val="auto"/>
        </w:rPr>
      </w:pPr>
    </w:p>
    <w:p>
      <w:pPr>
        <w:ind w:left="1080" w:right="220" w:hanging="424"/>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Expanding our Value Proposition for Customers. </w:t>
      </w:r>
      <w:r>
        <w:rPr>
          <w:rFonts w:ascii="Arial" w:cs="Arial" w:eastAsia="Arial" w:hAnsi="Arial"/>
          <w:sz w:val="18"/>
          <w:szCs w:val="18"/>
          <w:color w:val="auto"/>
        </w:rPr>
        <w:t>As building chips using the most advanced manufacturing processes became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complex and more costly, the opportunity to expand our product offerings to our customers increased. As a result, we have created more advanced and optimized CPU products that enable us to provide more value to our customers by giving their devices more functionality and more performance while using less power and at lower cost.</w:t>
      </w:r>
    </w:p>
    <w:p>
      <w:pPr>
        <w:spacing w:after="0" w:line="92"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Introducing New Licensing Models with Increased Focus on Maximizing Royalty Opportunities. </w:t>
      </w:r>
      <w:r>
        <w:rPr>
          <w:rFonts w:ascii="Arial" w:cs="Arial" w:eastAsia="Arial" w:hAnsi="Arial"/>
          <w:sz w:val="18"/>
          <w:szCs w:val="18"/>
          <w:color w:val="auto"/>
        </w:rPr>
        <w:t>By licensing a portfolio of Arm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(rather than licensing a single CPU product or other technology design), we have made it easier and more compelling for customers to access and utilize more Arm products, further broadening our potential customer base and end market penetration. Our licensing models provide greater flexibility to our customers and maximize our opportunities to secure more design wins for our products, which results in greater opportunities to increase our recurring royalty revenue.</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34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Diversifying and Deepening our Relationships with Market Leaders</w:t>
      </w:r>
      <w:r>
        <w:rPr>
          <w:rFonts w:ascii="Arial" w:cs="Arial" w:eastAsia="Arial" w:hAnsi="Arial"/>
          <w:sz w:val="16"/>
          <w:szCs w:val="16"/>
          <w:color w:val="auto"/>
        </w:rPr>
        <w:t>. We have established close partnerships with leading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all of our target markets, including in mobile computing, cloud servers, advanced automotive, and industrial IoT.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Semiconductors are increasingly indispensable to everyday life. In today’s technology-driven world, semiconductors are the enablers of the devices and infrastructure that facilitate virtually everything people do, such as making a phone call, sending an email, storing files in the cloud, streaming videos, or travelling by car, train, or plane. Almost all of the products and services people use every day rely on semiconductors. Manufacturing, logistics, city infrastructure, and building management also increasingly build their processes and services around semiconductor-enabled devices. As consumers and enterprises continue to demand more from their devices, the pervasiveness of high-performance and energy-efficient semiconductors will continue to expand. We believe there are several key trends driving the growth and evolution of the semiconductor industry.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Proliferation of Smart, Connected Devices Supporting an Increasingly Digital World</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world is becoming increasingly digital with the proliferation of smart, connected devices, such as smartphones, wearables, PCs, tablets, and other electronic devices. Even everyday products like washing machines, thermostats, and utility meters are becoming more advanced. According to Deloitte’s 2022 Connectivity and Mobile Trends Survey, the average U.S. household had 22 connected devices in 2022, doubling from 11 devices in 2019. The market trend to make nearly all products smart and connected is not just limited to consumer electronics, but is also driving a wave of innovation across a broad range of end markets and use cases. For example, vehicles are effectively transforming into computers on wheels, factory floors are becoming increasingly automated with robotics, and retail shopping is evolving with the help of cashier-less checkout technology.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Increased Need for High-Performance, Power-Efficient Compute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massive expansion of data, advanced software applications, and AI are driving the need for high-performance compute capabilities. To address increasingly complex workloads, a key approach has been to increase the speed of a CPU and expand the number of processor cores per chip. For example, core count increased by approximately tenfold between 2010 and 2022 for many smartphone application processors and by more than 30 times over the same period for certain data center server chips. Solely running an existing chip faster may deliver more compute performance, but increasing performance in this way results in higher energy costs, and may cause thermal limits to be exceeded. For example, individual servers are limited by their ability to dissipate heat energy, while whole data centers are limited by how much electricity is available to them. Mobile devices are limited by the energy stored in their batteries, while their instantaneous power is limited by thermal constraints. Furthermore, the transition to electric vehicles is increasing pressure on automakers to consider the power consumption and thermal management of vehicle electronics. In addition, enterprises are increasingly mindful of environmental sustainability, which is driving a need for more efficient alternatives to offset the continued growth in data centers and other compute deployments. According to McKinsey, the energy usage from data centers is expected to increase two times by the end of 2030 relative to 2022 levels. Collectively, these considerations result in the need for innovation in chip design to address market demands for an optimal balance of performance, efficiency, size, and cost across end markets.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Increasing Complexity and Cost of Designing Leading-Edge Solutions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resources required to develop leading-edge products are significant and continue to increase exponentially as manufacturing process nodes shrink. According to IBS, IC design costs in 2022 were approximately $48 million for a 28 nm chip and approximately $725 million for a 2nm chip. For many of today’s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applications, chips using manufacturing processes below 14nm are critical to enable enhanced performance while delivering lower power consumption. Accordingly, there is a need for technologies that can create efficiencies in the design process. By providing specialized capabilities and expertise that enable semiconductor suppliers to focus on their core product differentiation, while accelerating time-to-market, reducing risk, and keeping pace with market innovation, CPU design partners play an increasingly valuable role in the design process. Design partners facilitate innovation and enhance customers’ competitive positioning by removing the complexity and cost of a significant part of the development cycle. In addition, semiconductor design partners like Arm that can demonstrate a deep understanding of their customers’ workloads are better positioned to integrate themselves into their customers’ workflows, further expanding their value proposition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139065</wp:posOffset>
            </wp:positionV>
            <wp:extent cx="5186045" cy="2974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Source: IBS July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Growth of In-House Development and Custom Silicon Chips</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Many OEMs today utilize “off-the-shelf,” or “merchant,” semiconductors when building their product offerings. However, this approach can introduce compromises. For example, an OEM may use a chip that includes features that are irrelevant for its use case, at the expense of performance and cost efficiency. Similarly, an OEM may need a chip that incorporates features not otherwise available from a merchant supplier. As a result, leading OEMs are increasingly looking to build custom chips that deliver greater performance and greater efficiency at an equal or better price for a particular</w:t>
      </w:r>
    </w:p>
    <w:p>
      <w:pPr>
        <w:spacing w:after="0" w:line="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use case. The successes of Arm-based products such as , deployed across data centers globally, have demonstrated the opportunity to create a sustainable competitive advantage through this approach. This trend of increasing use of customized solutions has significantly expanded the opportunity for market-optimized design providers like Arm.</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provide the most pervasive CPU architecture in the world. The key elements of how we deliver our solution include:</w:t>
      </w:r>
    </w:p>
    <w:p>
      <w:pPr>
        <w:spacing w:after="0" w:line="131" w:lineRule="exact"/>
        <w:rPr>
          <w:sz w:val="20"/>
          <w:szCs w:val="20"/>
          <w:color w:val="auto"/>
        </w:rPr>
      </w:pPr>
    </w:p>
    <w:p>
      <w:pPr>
        <w:ind w:left="1080" w:right="5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Arm CPUs. </w:t>
      </w:r>
      <w:r>
        <w:rPr>
          <w:rFonts w:ascii="Arial" w:cs="Arial" w:eastAsia="Arial" w:hAnsi="Arial"/>
          <w:sz w:val="18"/>
          <w:szCs w:val="18"/>
          <w:color w:val="auto"/>
        </w:rPr>
        <w:t>The foundation of our product offerings is our market-leading CPU products. Our CPU products leverage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 ISA and address the widest range of performance, power, and cost requirements.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Other Design Offerings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portfolio of products that are deployed alongside our CPUs, including:</w:t>
      </w:r>
    </w:p>
    <w:p>
      <w:pPr>
        <w:spacing w:after="0" w:line="134" w:lineRule="exact"/>
        <w:rPr>
          <w:rFonts w:ascii="Arial" w:cs="Arial" w:eastAsia="Arial" w:hAnsi="Arial"/>
          <w:sz w:val="18"/>
          <w:szCs w:val="18"/>
          <w:color w:val="auto"/>
        </w:rPr>
      </w:pPr>
    </w:p>
    <w:p>
      <w:pPr>
        <w:ind w:left="1540" w:right="460" w:hanging="331"/>
        <w:spacing w:after="0" w:line="277"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Graphics Processing Units. </w:t>
      </w:r>
      <w:r>
        <w:rPr>
          <w:rFonts w:ascii="Arial" w:cs="Arial" w:eastAsia="Arial" w:hAnsi="Arial"/>
          <w:sz w:val="18"/>
          <w:szCs w:val="18"/>
          <w:color w:val="auto"/>
        </w:rPr>
        <w:t>We offer a family of GPU products providing an optimal visual experience across a wide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w:t>
      </w:r>
    </w:p>
    <w:p>
      <w:pPr>
        <w:spacing w:after="0" w:line="75" w:lineRule="exact"/>
        <w:rPr>
          <w:rFonts w:ascii="Arial" w:cs="Arial" w:eastAsia="Arial" w:hAnsi="Arial"/>
          <w:sz w:val="18"/>
          <w:szCs w:val="18"/>
          <w:color w:val="auto"/>
        </w:rPr>
      </w:pPr>
    </w:p>
    <w:p>
      <w:pPr>
        <w:ind w:left="1540" w:right="440" w:hanging="331"/>
        <w:spacing w:after="0" w:line="277"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System IP. </w:t>
      </w:r>
      <w:r>
        <w:rPr>
          <w:rFonts w:ascii="Arial" w:cs="Arial" w:eastAsia="Arial" w:hAnsi="Arial"/>
          <w:sz w:val="18"/>
          <w:szCs w:val="18"/>
          <w:color w:val="auto"/>
        </w:rPr>
        <w:t>Complementary design components that enable designers to create high-performance, power-efficient, reliable,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 chips.</w:t>
      </w:r>
    </w:p>
    <w:p>
      <w:pPr>
        <w:spacing w:after="0" w:line="75" w:lineRule="exact"/>
        <w:rPr>
          <w:rFonts w:ascii="Arial" w:cs="Arial" w:eastAsia="Arial" w:hAnsi="Arial"/>
          <w:sz w:val="18"/>
          <w:szCs w:val="18"/>
          <w:color w:val="auto"/>
        </w:rPr>
      </w:pPr>
    </w:p>
    <w:p>
      <w:pPr>
        <w:ind w:left="1540" w:right="140" w:hanging="331"/>
        <w:spacing w:after="0" w:line="277"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Compute Platform Products. </w:t>
      </w:r>
      <w:r>
        <w:rPr>
          <w:rFonts w:ascii="Arial" w:cs="Arial" w:eastAsia="Arial" w:hAnsi="Arial"/>
          <w:sz w:val="18"/>
          <w:szCs w:val="18"/>
          <w:color w:val="auto"/>
        </w:rPr>
        <w:t>Arm’s CPU, GPU, and System IP products integrate into a foundational compute platform optimized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specific end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Tools and Software. </w:t>
      </w:r>
      <w:r>
        <w:rPr>
          <w:rFonts w:ascii="Arial" w:cs="Arial" w:eastAsia="Arial" w:hAnsi="Arial"/>
          <w:sz w:val="18"/>
          <w:szCs w:val="18"/>
          <w:color w:val="auto"/>
        </w:rPr>
        <w:t>Our tools and software support the development and deployment of our offerings.</w:t>
      </w:r>
    </w:p>
    <w:p>
      <w:pPr>
        <w:spacing w:after="0" w:line="22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continue to expand the scope of our product offerings. Given the complexities of developing chips using the most advanced manufacturing processes, we are making significant investments in solutions that better support the increasing number of OEMs looking to develop their own customized chips.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we have cultivated a broad ecosystem of third-party hardware and software partners to support our customers, including leading semiconductor technology suppliers, such as foundries and EDA vendors. We also invest in our software ecosystem and work closely with firmware and operating system vendors, game engine vendors, software tool providers, and application software developers.</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primary customer benefits of our solution include:</w:t>
      </w:r>
    </w:p>
    <w:p>
      <w:pPr>
        <w:spacing w:after="0" w:line="131" w:lineRule="exact"/>
        <w:rPr>
          <w:sz w:val="20"/>
          <w:szCs w:val="20"/>
          <w:color w:val="auto"/>
        </w:rPr>
      </w:pPr>
    </w:p>
    <w:p>
      <w:pPr>
        <w:ind w:left="1080" w:right="140" w:hanging="424"/>
        <w:spacing w:after="0" w:line="25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Ability to Optimize for Performance, Power and Area (PPA)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Arm’s flexible and modular design IP enables customers to build chips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the PPA requirements for a specific use case or end market. A battery-powered device such as a smartphone has a different PPA requirement versus a high-performance cloud server or an IoT sensor. By developing a wide range of CPU and related technologies, Arm can provide a CPU optimized for various use cases to reduce both energy consumption and area (with area being a key driver of the ultimate cost of a chip).</w:t>
      </w:r>
    </w:p>
    <w:p>
      <w:pPr>
        <w:spacing w:after="0" w:line="93"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Alignment with the Semiconductor Industry’s Technology Roadmap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leading-edge manufacturing processes continue to progress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towards smaller transistors, developing chips is becoming harder and more costly, requiring more engineering time and effort. To further reduce our customers’ costs and to help de-risk their product development efforts, we combine our CPU products and SoC knowledge with our deep understanding of our ecosystem partners’ design tools and manufacturing processes to provide processor products that not only optimize for power and performance, but also accelerate time to market for our customers. In addition, through our deep customer and partner relationships, we have unique visibility into the future requirements of end markets as far as 10 years out, which informs the development of our products to ensure that our products meet or exceed future market needs.</w:t>
      </w:r>
    </w:p>
    <w:p>
      <w:pPr>
        <w:spacing w:after="0" w:line="9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20" w:hanging="424"/>
        <w:spacing w:after="0" w:line="25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Design Risk and Cost. </w:t>
      </w:r>
      <w:r>
        <w:rPr>
          <w:rFonts w:ascii="Arial" w:cs="Arial" w:eastAsia="Arial" w:hAnsi="Arial"/>
          <w:sz w:val="18"/>
          <w:szCs w:val="18"/>
          <w:color w:val="auto"/>
        </w:rPr>
        <w:t>Our solution allows customers to build optimized chips, while reducing their design execution risk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internal development costs. We generally expect to license our products to multiple customers, enabling us to completely cover the cost of developing new Arm products by charging each licensee only a portion of the total development costs. We invest significant time, resources and effort in the design and verification of each processor and work closely with our partners to ensure a standard of excellence in the processor products we deliver to our customers.</w:t>
      </w:r>
    </w:p>
    <w:p>
      <w:pPr>
        <w:spacing w:after="0" w:line="93" w:lineRule="exact"/>
        <w:rPr>
          <w:rFonts w:ascii="Arial" w:cs="Arial" w:eastAsia="Arial" w:hAnsi="Arial"/>
          <w:sz w:val="18"/>
          <w:szCs w:val="18"/>
          <w:color w:val="auto"/>
        </w:rPr>
      </w:pPr>
    </w:p>
    <w:p>
      <w:pPr>
        <w:ind w:left="1080" w:right="80" w:hanging="424"/>
        <w:spacing w:after="0" w:line="273"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Incorporation of AI and ML Acceleration in Every Processor We Design. </w:t>
      </w:r>
      <w:r>
        <w:rPr>
          <w:rFonts w:ascii="Arial" w:cs="Arial" w:eastAsia="Arial" w:hAnsi="Arial"/>
          <w:sz w:val="17"/>
          <w:szCs w:val="17"/>
          <w:color w:val="auto"/>
        </w:rPr>
        <w:t>Using an AI or ML algorithm is just another way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programming the software needed to run a chip, and we expect that AI and ML algorithms will complement the software used by most chips in the future, from high-end super computers to tiny, remote sensors. Arm processors run AI and ML workloads, and every smartphone currently in the market efficiently runs AI inference applications, such as voice recognition and applying filters to digital images. To ensure that software developers can efficiently run the AI and ML workloads, each generation of our processors is designed to accelerate key parts of algorithms that will be used in future applications.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define our TAM to include all chips that can contain a processor and, therefore, our TAM includes the main controller chips in smartphones, PCs, digital TVs, servers, vehicles and networking equipment. Our TAM excludes chips that are unlikely to contain a processor, such as memory and analog chips.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For the fiscal year ended March 31, 2023, we estimate that our TAM was approximately $ billion and we forecast that our TAM will grow at a CAGR of % to approximately $ billion by the end of our fiscal year ending March 31, 2026. We estimate that the aggregate value of chips containing Arm technology was approximately $ billion in the fiscal year ended March 31, 2023, representing an approximate % market share.</w:t>
      </w:r>
    </w:p>
    <w:p>
      <w:pPr>
        <w:ind w:left="120"/>
        <w:spacing w:after="0" w:line="255" w:lineRule="auto"/>
        <w:rPr>
          <w:sz w:val="20"/>
          <w:szCs w:val="20"/>
          <w:color w:val="auto"/>
        </w:rPr>
      </w:pPr>
      <w:r>
        <w:rPr>
          <w:rFonts w:ascii="Arial" w:cs="Arial" w:eastAsia="Arial" w:hAnsi="Arial"/>
          <w:sz w:val="18"/>
          <w:szCs w:val="18"/>
          <w:color w:val="auto"/>
        </w:rPr>
        <w:t>We estimate that our royalty revenue today represents approximately % of the industry TAM containing Arm-based chips. We expect that the cost and complexity of chip design will continue to increase, and that we will be able to contribute a greater proportion of the technology included in each chip, resulting in our royalties comprising a greater proportion of each chip’s total value.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Mobile Applications Processor</w:t>
      </w:r>
    </w:p>
    <w:p>
      <w:pPr>
        <w:spacing w:after="0" w:line="117"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 recharged. We</w:t>
      </w:r>
    </w:p>
    <w:p>
      <w:pPr>
        <w:spacing w:after="0" w:line="2" w:lineRule="exact"/>
        <w:rPr>
          <w:sz w:val="20"/>
          <w:szCs w:val="20"/>
          <w:color w:val="auto"/>
        </w:rPr>
      </w:pPr>
    </w:p>
    <w:p>
      <w:pPr>
        <w:ind w:left="120" w:right="260"/>
        <w:spacing w:after="0" w:line="265" w:lineRule="auto"/>
        <w:rPr>
          <w:sz w:val="20"/>
          <w:szCs w:val="20"/>
          <w:color w:val="auto"/>
        </w:rPr>
      </w:pPr>
      <w:r>
        <w:rPr>
          <w:rFonts w:ascii="Arial" w:cs="Arial" w:eastAsia="Arial" w:hAnsi="Arial"/>
          <w:sz w:val="17"/>
          <w:szCs w:val="17"/>
          <w:color w:val="auto"/>
        </w:rPr>
        <w:t>expect the mobile applications processor market to grow from approximately $ billion in the fiscal year ended March 31, 2023 to approximately $ billion in the fiscal year ending March 31, 2026, representing a CAGR of % over that period. We have maintained market share in the</w:t>
      </w:r>
    </w:p>
    <w:p>
      <w:pPr>
        <w:ind w:left="120"/>
        <w:spacing w:after="0"/>
        <w:rPr>
          <w:sz w:val="20"/>
          <w:szCs w:val="20"/>
          <w:color w:val="auto"/>
        </w:rPr>
      </w:pPr>
      <w:r>
        <w:rPr>
          <w:rFonts w:ascii="Arial" w:cs="Arial" w:eastAsia="Arial" w:hAnsi="Arial"/>
          <w:sz w:val="16"/>
          <w:szCs w:val="16"/>
          <w:color w:val="auto"/>
        </w:rPr>
        <w:t>mobile applications processor market of greater than 99% for many years, by virtue of all key mobile operating systems depending on Arm processors.</w:t>
      </w:r>
    </w:p>
    <w:p>
      <w:pPr>
        <w:spacing w:after="0" w:line="23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expect the value of the market for mobile applications processors to continue to grow, particularly in light of several smartphone usage trends that are increasing the need for high-performance processing capabilities:</w:t>
      </w:r>
    </w:p>
    <w:p>
      <w:pPr>
        <w:spacing w:after="0" w:line="76" w:lineRule="exact"/>
        <w:rPr>
          <w:sz w:val="20"/>
          <w:szCs w:val="20"/>
          <w:color w:val="auto"/>
        </w:rPr>
      </w:pPr>
    </w:p>
    <w:p>
      <w:pPr>
        <w:ind w:left="108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5G Modems</w:t>
      </w:r>
      <w:r>
        <w:rPr>
          <w:rFonts w:ascii="Arial" w:cs="Arial" w:eastAsia="Arial" w:hAnsi="Arial"/>
          <w:sz w:val="18"/>
          <w:szCs w:val="18"/>
          <w:color w:val="auto"/>
        </w:rPr>
        <w:t>: Many smartphones are now built with 5G technology, which enables new data-intensive applications for the smartphone,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driving the need for even greater performance while maintaining or improving energy efficiency to address the thermal constraints of small form factors.</w:t>
      </w:r>
    </w:p>
    <w:p>
      <w:pPr>
        <w:spacing w:after="0" w:line="89"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Mobile Gaming</w:t>
      </w:r>
      <w:r>
        <w:rPr>
          <w:rFonts w:ascii="Arial" w:cs="Arial" w:eastAsia="Arial" w:hAnsi="Arial"/>
          <w:sz w:val="16"/>
          <w:szCs w:val="16"/>
          <w:color w:val="auto"/>
        </w:rPr>
        <w:t>: According to International Data Corporation (“IDC”), mobile gaming represented 61% of the overall gaming market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 number of the latest smartphones include Arm’s latest GPU, which makes game graphics more realistic and immersive.</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AI and ML</w:t>
      </w:r>
      <w:r>
        <w:rPr>
          <w:rFonts w:ascii="Arial" w:cs="Arial" w:eastAsia="Arial" w:hAnsi="Arial"/>
          <w:sz w:val="18"/>
          <w:szCs w:val="18"/>
          <w:color w:val="auto"/>
        </w:rPr>
        <w:t>: Emerging AI and ML workloads drive many apps and games, and Armv9-based smartphones have additional instructions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AI and ML functionality.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Mobile Chips</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Mobile phones contain many chips beyond the main applications processor, including the modem, Wi-Fi, Bluetooth and NFC connectivity chips, GPS chips, touchscreen controllers, power management chips, camera chips, audio chips and more, which we refer to collectively as the “other mobile</w:t>
      </w:r>
    </w:p>
    <w:p>
      <w:pPr>
        <w:ind w:left="120" w:right="220"/>
        <w:spacing w:after="0" w:line="265" w:lineRule="auto"/>
        <w:rPr>
          <w:sz w:val="20"/>
          <w:szCs w:val="20"/>
          <w:color w:val="auto"/>
        </w:rPr>
      </w:pPr>
      <w:r>
        <w:rPr>
          <w:rFonts w:ascii="Arial" w:cs="Arial" w:eastAsia="Arial" w:hAnsi="Arial"/>
          <w:sz w:val="17"/>
          <w:szCs w:val="17"/>
          <w:color w:val="auto"/>
        </w:rPr>
        <w:t>chips market.” We expect the other mobile chips market to grow from approximately $ billion in the fiscal year ended March 31, 2023 to approximately $ billion in the fiscal year ending March 31, 2026, representing a CAGR of % over that period. The market share of Arm-based</w:t>
      </w:r>
    </w:p>
    <w:p>
      <w:pPr>
        <w:ind w:left="120" w:right="120"/>
        <w:spacing w:after="0" w:line="260" w:lineRule="auto"/>
        <w:rPr>
          <w:sz w:val="20"/>
          <w:szCs w:val="20"/>
          <w:color w:val="auto"/>
        </w:rPr>
      </w:pPr>
      <w:r>
        <w:rPr>
          <w:rFonts w:ascii="Arial" w:cs="Arial" w:eastAsia="Arial" w:hAnsi="Arial"/>
          <w:sz w:val="18"/>
          <w:szCs w:val="18"/>
          <w:color w:val="auto"/>
        </w:rPr>
        <w:t>chips in the other mobile chips market varies by device and is generally higher in chips that run more software (such as modem and connectivity chips) and is lower in chips that require less software (such as power management chips).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Electronics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 includes products found in the home, such as digital TVs, tablets, laptops, XR headsets and wearables. We expect the CE chip market to grow</w:t>
      </w:r>
    </w:p>
    <w:p>
      <w:pPr>
        <w:spacing w:after="0" w:line="46"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from approximately $ billion in the fiscal year ended March 31, 2023 to approximately $ billion in the fiscal year ending March 31, 2026, representing a CAGR of % over that period.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market share of Arm-based chips in consumer electronics is increasing as new product categories, such as smart speakers, XR headsets and</w:t>
      </w:r>
    </w:p>
    <w:p>
      <w:pPr>
        <w:spacing w:after="0" w:line="4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laptops, adopt Arm products to achieve high performance without sacrificing efficiency. Laptops with and operating systems also utilize Arm products. The adoption of smart wearables is expected to continue, with IDC projecting the number of wearables to grow at a CAGR of 4.7% between 2022 and 2027. Similarly, augmented reality and virtual reality hardware is reaching an inflection point, with IDC projecting the number of such hardware shipments to grow at a CAGR of 32.0% between 2022 and 2027.</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Industrial IoT and Embedded</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industrial IoT and embedded semiconductor TAM includes chips used by a wide range of goods, including washing machines, thermostats, digital cameras, drones, sensors, surveillance cameras, manufacturing equipment, robotics, electric motor controllers and city infrastructure and building management equipment. IDC expects the total number of IoT connected devices to grow from approximately 37.6 billion in 2022 to approximately</w:t>
      </w:r>
    </w:p>
    <w:p>
      <w:pPr>
        <w:spacing w:after="0" w:line="2" w:lineRule="exact"/>
        <w:rPr>
          <w:sz w:val="20"/>
          <w:szCs w:val="20"/>
          <w:color w:val="auto"/>
        </w:rPr>
      </w:pPr>
    </w:p>
    <w:p>
      <w:pPr>
        <w:ind w:left="120" w:right="620"/>
        <w:spacing w:after="0" w:line="260" w:lineRule="auto"/>
        <w:rPr>
          <w:sz w:val="20"/>
          <w:szCs w:val="20"/>
          <w:color w:val="auto"/>
        </w:rPr>
      </w:pPr>
      <w:r>
        <w:rPr>
          <w:rFonts w:ascii="Arial" w:cs="Arial" w:eastAsia="Arial" w:hAnsi="Arial"/>
          <w:sz w:val="18"/>
          <w:szCs w:val="18"/>
          <w:color w:val="auto"/>
        </w:rPr>
        <w:t>49.1 billion by 2026. We expect the industrial IoT and embedded chip market to grow from approximately $ billion in the fiscal year ended March 31, 2023 to $ billion in the fiscal year ending March 31, 2026, representing a CAGR of % over that period.</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Many manufacturers and logistics companies are using advanced sensors and smart machines capable of capturing and analyzing data in real time to improve and automate industrial processes and logistics systems. Combining the data captured by sensors with AI and data analytics can result in improvements in manufacturing yield and system throughput. Our products are broadly applicable for sensors and embedded computers that require small, power efficient and smart processors.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Networking Equipment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networking equipment TAM includes chips deployed into wireless networking such as base-station equipment, enterprise Wi-Fi and edge networking, and wired networking equipment such as routers, switches and SmartNICs. According to IBISWorld, total internet traffic volume is expected to grow from 335 exabytes per month in 2022 to 580 exabytes per month in 2025, representing a CAGR of 20%, thereby increasing the need to deploy additional networking equipment.</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market is growing as more wired and wireless infrastructure is deployed, as much of the data consumed in the cloud is created at the edge and needs to be transmitted over networks to the data center for processing. We expect the networking equipment chip market to grow from approximately $ billion in the fiscal year ended March 31, 2023 to approximately $ billion in the fiscal year ending March 31, 2026, representing a CAGR of % over that period. Arm is posed to accelerate market-share gains resulting from the deployment of 5G networks as infrastructure scales from fewer large cell towers covering a wide area to a large number of small cells providing high-speed coverage, with a single architecture across both large and small cells to allow for flexible deployment of software and workloads.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Cloud Servers</w:t>
      </w:r>
    </w:p>
    <w:p>
      <w:pPr>
        <w:spacing w:after="0" w:line="117" w:lineRule="exact"/>
        <w:rPr>
          <w:sz w:val="20"/>
          <w:szCs w:val="20"/>
          <w:color w:val="auto"/>
        </w:rPr>
      </w:pPr>
    </w:p>
    <w:p>
      <w:pPr>
        <w:ind w:left="120" w:right="360" w:firstLine="440"/>
        <w:spacing w:after="0" w:line="287" w:lineRule="auto"/>
        <w:rPr>
          <w:sz w:val="20"/>
          <w:szCs w:val="20"/>
          <w:color w:val="auto"/>
        </w:rPr>
      </w:pPr>
      <w:r>
        <w:rPr>
          <w:rFonts w:ascii="Arial" w:cs="Arial" w:eastAsia="Arial" w:hAnsi="Arial"/>
          <w:sz w:val="16"/>
          <w:szCs w:val="16"/>
          <w:color w:val="auto"/>
        </w:rPr>
        <w:t>The cloud server market includes the main server chips used by CSPs to run their operations. We expect the cloud server chip market to grow from approximately $ billion in the fiscal year ended March 31, 2023 to approximately $ billion in the fiscal year ending March 31, 2026, representing a CAGR of % over that period. The increase in cloud computing has been driven by the rapid increase in data traffic generated by</w:t>
      </w:r>
    </w:p>
    <w:p>
      <w:pPr>
        <w:spacing w:after="0" w:line="2" w:lineRule="exact"/>
        <w:rPr>
          <w:sz w:val="20"/>
          <w:szCs w:val="20"/>
          <w:color w:val="auto"/>
        </w:rPr>
      </w:pPr>
    </w:p>
    <w:p>
      <w:pPr>
        <w:ind w:left="120" w:right="20"/>
        <w:spacing w:after="0" w:line="302" w:lineRule="auto"/>
        <w:rPr>
          <w:sz w:val="20"/>
          <w:szCs w:val="20"/>
          <w:color w:val="auto"/>
        </w:rPr>
      </w:pPr>
      <w:r>
        <w:rPr>
          <w:rFonts w:ascii="Arial" w:cs="Arial" w:eastAsia="Arial" w:hAnsi="Arial"/>
          <w:sz w:val="16"/>
          <w:szCs w:val="16"/>
          <w:color w:val="auto"/>
        </w:rPr>
        <w:t>consumers and enterprises globally and by the migration of enterprise workloads to the cloud. As a result, IDC predicts spending on cloud infrastructure to reach approximately 68% of total compute and storage infrastructure spend by 2027. As the volume of workloads continues to increase, CSPs are increasingly seeking custom processor solutions that can deliver improvements in performance per watt and total cost of ownership.</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Arm-based chips have been gaining market share as CSPs have started to deploy Arm products in their own in-house designed chips used in their data centers, and as others start to deploy chips designed by Arm licensees. As a result, we expect our market share of cloud servers to grow significantly faster than the overall cloud server market.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automotive TAM includes all chips with processors within vehicles. This includes chips used for IVI, ADAS, engine management, and body and chassis control. We expect the automotive chip market to grow from approximately $ billion in the fiscal year ended March 31, 2023 to approximately $ billion in the fiscal year ending March 31, 2026, representing a CAGR of % over that period. Today, our market share in the automotive market is highest in more technologically advanced functional areas such as IVI and ADAS.</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automotive TAM is expected to increase as ADAS, electrification, IVI, and eventually autonomous driving, accelerate requirements for higher compute performance in newly manufactured vehicles. At the same time, automakers must operate with strict constraints on power consumption, heat dissipation, and packaging, while prioritizing functional safety. Furthermore, automotive electronics are transitioning from hardware-defined to software-defined architecture and compute, enabling new services and features such as ADAS to be continuously improved via over-the-air updates. Gartner estimates that by 2029, software-defined vehicles will surpass 90% of total unit production, up from 3% in 2021. Many of these trends mirror the evolution of the smartphone and, therefore, we believe that we are well positioned to outpace the growth of the overall automotive market.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 and Customers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open and flexible business model provides access to high quality CPU products for a wide range of potential customer types and end markets. We license our products to semiconductor companies, OEMs, and other organizations to design their processors. Our customers license our products for a fee, which gives them access to our products and enables them to create Arm-based chips. Once a chip has been designed and manufactured with our products, we receive a per 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Total Access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ATA provides access to the widest range of Arm products and is intended for customers who use Arm products in chips for multiple end markets. An ATA licensee pays an annual fee determined at execution of the agreement, and, in return, the licensee gains access to our portfolio of products,</w:t>
      </w:r>
    </w:p>
    <w:p>
      <w:pPr>
        <w:ind w:left="120" w:right="840"/>
        <w:spacing w:after="0" w:line="260" w:lineRule="auto"/>
        <w:rPr>
          <w:sz w:val="20"/>
          <w:szCs w:val="20"/>
          <w:color w:val="auto"/>
        </w:rPr>
      </w:pPr>
      <w:r>
        <w:rPr>
          <w:rFonts w:ascii="Arial" w:cs="Arial" w:eastAsia="Arial" w:hAnsi="Arial"/>
          <w:sz w:val="18"/>
          <w:szCs w:val="18"/>
          <w:color w:val="auto"/>
        </w:rPr>
        <w:t>including new products that are introduced during the term of the license. To date we have ATA agreements, including leading CSPs, microcontroller chip vendors, and networking chip vendors.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Flexible Access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AFA is a low cost entry model for smaller companies and provides access to some of our most popular products for consumer electronics and</w:t>
      </w:r>
    </w:p>
    <w:p>
      <w:pPr>
        <w:spacing w:after="0" w:line="46"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embedded computing. An AFA licensee pays a nominal fee per year and, in return, gains access to more than components, including all of our Cortex-M and Cortex-R family of CPUs and many of the most widely deployed Cortex-A CPUs and our System IP products. Although customers are free to experiment with products contained in the AFA package, they must pay a per-use license fee for any products they include in a final chip design,</w:t>
      </w:r>
    </w:p>
    <w:p>
      <w:pPr>
        <w:spacing w:after="0" w:line="2"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and such license fee is based on the specific products incorporated in that final chip design. To date we have AFA agreements, including many smaller companies and start-ups who are still developing their first Arm-based chip.</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Both ATA and AFA agreements provide our customers with access to a broad portfolio of Arm products, which changes the relationship between Arm and our customer from a sales engagement to a design partnership. Once the ATA or AFA is signed, our focus moves to design wins, helping our customer maximize the value of the Arm products that they have licensed.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License Agreements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 Technology License Agreement has been the primary means for a customer to access Arm products for many years. To gain access to Arm products under a TLA, a customer pays a fixed license fee to access a single CPU product or other technology design. The license fee depends on which Arm products are being licensed, the term during which the licensee is able to design using our products covered by the license (manufacturing rights are typically perpetual), and the number of chip products of the licensee that may use our products.</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we have deepened our relationships with our customers, we have started to migrate them to more holistic license agreements, including ATA and AFA agreements.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Architecture Licenses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 very small number of companies want to design customized Arm CPUs for their next generation chips. For these companies, we can provide an architecture license which allows the licensee to develop their own CPU design that is compliant with the Arm ISA. In addition to the architecture license fee, the licensee agrees to pay a royalty on every chip that contains the Arm-compliant design. As the creation of an optimized CPU is very costly and time consuming, architecture licensees often also license Arm CPU products to use either as a complementary processor alongside the licensee’s Arm-compliant CPU design, or in other chips where the licensee’s own design is unsuitable. We expect the number of new licensees for this technology to diminish over time as the effort required on their part to provide the customization often does not provide a reasonable return on investment.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licenses can yield royalties for many years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Regardless of the license model a customer uses, we receive a per unit royalty fee on substantially every chip shipped. Because each chip may ship for many years, and each Arm CPU can be reused in new products as new applications emerge, these licensing agreements help to ensure a long tail of recurring royalty revenues, which provide significant visibility into future revenue streams. Arm is still collecting royalty revenues for</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products that were first developed and licensed in the early 1990s. For example, based on royalty revenue information provided to us by customers in quarterly royalty reports, approximately 46% of our royalty revenue for the fiscal year ended March 31, 2023 came from products released between 1990 to 2012. Our recurring royalties support Arm’s revenue growth into the future and provide enhanced performance visibility and predictability, as new products and architectures are launched.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enjoyed success for more than 30 years by providing market-leading technology, adapting our solution to emerging market needs and building a software developer ecosystem unlike any other in history. Our competitive strengths include:</w:t>
      </w:r>
    </w:p>
    <w:p>
      <w:pPr>
        <w:spacing w:after="0" w:line="72" w:lineRule="exact"/>
        <w:rPr>
          <w:sz w:val="20"/>
          <w:szCs w:val="20"/>
          <w:color w:val="auto"/>
        </w:rPr>
      </w:pPr>
    </w:p>
    <w:p>
      <w:pPr>
        <w:ind w:left="1080" w:right="60" w:hanging="424"/>
        <w:spacing w:after="0" w:line="286"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Technology Leadership with Proven Capabilities Across Markets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Arm CPU technology has been an industry leader for many years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continues to be the most widely deployed architecture globally. Since our inception, our customers have shipped more than 250 billion Arm-based chips, and we estimate that Arm had an approximate 49% market share by value in the calendar year ended December 31, 2022, up from approximately 39% in the calendar year ended December 31, 2014. Our products are used in virtually all smartphones, a majority of tablets and digital TVs, and a significant proportion of all chips with embedded processors. We have an established presence in</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cloud market, working with many of the largest hyperscalers. In 2018, we entered the data center market, and, as of March 31, 2022,</w:t>
      </w:r>
    </w:p>
    <w:p>
      <w:pPr>
        <w:spacing w:after="0" w:line="32" w:lineRule="exact"/>
        <w:rPr>
          <w:sz w:val="20"/>
          <w:szCs w:val="20"/>
          <w:color w:val="auto"/>
        </w:rPr>
      </w:pPr>
    </w:p>
    <w:p>
      <w:pPr>
        <w:ind w:left="1080"/>
        <w:spacing w:after="0" w:line="292" w:lineRule="auto"/>
        <w:rPr>
          <w:sz w:val="20"/>
          <w:szCs w:val="20"/>
          <w:color w:val="auto"/>
        </w:rPr>
      </w:pPr>
      <w:r>
        <w:rPr>
          <w:rFonts w:ascii="Arial" w:cs="Arial" w:eastAsia="Arial" w:hAnsi="Arial"/>
          <w:sz w:val="16"/>
          <w:szCs w:val="16"/>
          <w:color w:val="auto"/>
        </w:rPr>
        <w:t>we have grown our market share to approximately %. In the automotive market, we work with many of the leading suppliers, and we believe that, on average, each new vehicle produced in our fiscal year ended March 31, 2023 contained approximately 13 Arm-based chips. Our products deliver leading performance per watt and provides the flexibility to design custom chips, addressing the growing need for power-efficient compute capabilities. We believe that these factors, which have driven our success in the mobile and consumer electronics markets, are emerging as key factors in the automotive, cloud server, networking equipment, and other growth markets.</w:t>
      </w:r>
    </w:p>
    <w:p>
      <w:pPr>
        <w:spacing w:after="0" w:line="64" w:lineRule="exact"/>
        <w:rPr>
          <w:sz w:val="20"/>
          <w:szCs w:val="20"/>
          <w:color w:val="auto"/>
        </w:rPr>
      </w:pPr>
    </w:p>
    <w:p>
      <w:pPr>
        <w:ind w:left="1080" w:right="40" w:hanging="424"/>
        <w:spacing w:after="0" w:line="287"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World’s Most Extensive Ecosystem of Third-Party Software and Hardware Partners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Arm has the world’s largest ecosystem of third-party software and hardware partners, including chip design and verification tools vendors, advanced fabrication, OS and application vendors, software tools providers, and training and support services companies. As of March 31, 2023, more than 1,000 partner companies were invested in developing products that complement Arm’s technology, allowing Arm customers to get their products to market more efficiently with reduced cost, development time, and risk. The wide deployment of chips based on the Arm ISA provides software and tools companies with a large market to develop and sell their products into. As of March 31, 2023, there were more than 8 million apps running on Arm-based devices built by more than 15 million developers designing software for Arm-based systems. The breadth of our ecosystem creates a virtuous cycle that benefits our customers and deeply integrates us into the design cycle because it is difficult to create a commercial product or service for a particular end market until all elements of the hardware and supporting software and tools ecosystem are available. Building the required software ecosystem around an architecture requires significant investment and can take decades. For instance, we started to invest in the technology and ecosystem for the server market in 2007, but it took over 10 years for Arm to start to gain share, given the lack of an existing hardware/software ecosystem at the start.</w:t>
      </w:r>
    </w:p>
    <w:p>
      <w:pPr>
        <w:spacing w:after="0" w:line="73" w:lineRule="exact"/>
        <w:rPr>
          <w:rFonts w:ascii="Arial" w:cs="Arial" w:eastAsia="Arial" w:hAnsi="Arial"/>
          <w:sz w:val="16"/>
          <w:szCs w:val="16"/>
          <w:color w:val="auto"/>
        </w:rPr>
      </w:pPr>
    </w:p>
    <w:p>
      <w:pPr>
        <w:ind w:left="1080" w:right="20" w:hanging="424"/>
        <w:spacing w:after="0" w:line="294"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Deep Integration with Customers and Ecosystem Partners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work closely with our customers and ecosystem partners to understand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industry trends and the evolution of end markets. We have worked in partnership with our top 10 customers by royalty revenue, for the fiscal year ended March 31, 2023, for an average of over 20 years. When a major semiconductor company licenses Arm products to deploy in their product roadmap, they are committing to use Arm products in multiple generations of their future chips. We believe that it is essential that we align with our customers on their development plans and engineering timeline, so that our products meet or exceed their requirements and are delivered at the right time in their chip development timeline. Because it can take</w:t>
      </w:r>
    </w:p>
    <w:p>
      <w:pPr>
        <w:spacing w:after="0" w:line="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20"/>
        <w:spacing w:after="0" w:line="272" w:lineRule="auto"/>
        <w:rPr>
          <w:sz w:val="20"/>
          <w:szCs w:val="20"/>
          <w:color w:val="auto"/>
        </w:rPr>
      </w:pPr>
      <w:r>
        <w:rPr>
          <w:rFonts w:ascii="Arial" w:cs="Arial" w:eastAsia="Arial" w:hAnsi="Arial"/>
          <w:sz w:val="17"/>
          <w:szCs w:val="17"/>
          <w:color w:val="auto"/>
        </w:rPr>
        <w:t>two to three years to design a new Arm processor, and it can take another two to three years to develop a chip, this close relationship with our customers’ R&amp;D functions can provide us with unparalleled visibility into the product pipeline of our customers and, by extension, their customers and end markets. This requires us to not only work closely with our direct customers, but also with other elements of the ecosystem to understand and align product plans. Our collaborative relationships with partners in our extensive ecosystem, including companies that contribute design tools, manufacturing capabilities, software and other components, provide us with unique insights across the entire semiconductor industry, enabling us to invest in developing new products years, and sometimes up to a decade, before the products are deployed to end-users.</w:t>
      </w:r>
    </w:p>
    <w:p>
      <w:pPr>
        <w:spacing w:after="0" w:line="83"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Efficient Model and Long-Term Visibility Enables Investment in Future Products. </w:t>
      </w:r>
      <w:r>
        <w:rPr>
          <w:rFonts w:ascii="Arial" w:cs="Arial" w:eastAsia="Arial" w:hAnsi="Arial"/>
          <w:sz w:val="16"/>
          <w:szCs w:val="16"/>
          <w:color w:val="auto"/>
        </w:rPr>
        <w:t>Our business model provides significant flexibility to</w:t>
      </w:r>
    </w:p>
    <w:p>
      <w:pPr>
        <w:spacing w:after="0" w:line="46" w:lineRule="exact"/>
        <w:rPr>
          <w:sz w:val="20"/>
          <w:szCs w:val="20"/>
          <w:color w:val="auto"/>
        </w:rPr>
      </w:pPr>
    </w:p>
    <w:p>
      <w:pPr>
        <w:ind w:left="1080"/>
        <w:spacing w:after="0" w:line="267" w:lineRule="auto"/>
        <w:rPr>
          <w:sz w:val="20"/>
          <w:szCs w:val="20"/>
          <w:color w:val="auto"/>
        </w:rPr>
      </w:pPr>
      <w:r>
        <w:rPr>
          <w:rFonts w:ascii="Arial" w:cs="Arial" w:eastAsia="Arial" w:hAnsi="Arial"/>
          <w:sz w:val="17"/>
          <w:szCs w:val="17"/>
          <w:color w:val="auto"/>
        </w:rPr>
        <w:t>fund long-term investments in future products. We have a capital-light and people-focused model, with most of our investments directed at hiring and retaining engineers undertaking advanced research and development. With few exceptions, there are no direct costs associated with signing a technology license or in collecting a royalty, which enabled us, in the fiscal year ended March 31, 2023, to generate % gross margins and fund extensive investments in research and development. Arm incurs research and development investments today for the development of products that will be licensed in the future, with royalty fees to follow for years, and often decades,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 Some products continue to generate royalty revenue even after 25 years following their initial development, and approximately 46% of royalty revenue received in the fiscal year ended March 31, 2023 came from products released between 1990 to 2012, based on royalty revenue information provided to us by customers in quarterly royalty reports.</w:t>
      </w:r>
    </w:p>
    <w:p>
      <w:pPr>
        <w:spacing w:after="0" w:line="91" w:lineRule="exact"/>
        <w:rPr>
          <w:sz w:val="20"/>
          <w:szCs w:val="20"/>
          <w:color w:val="auto"/>
        </w:rPr>
      </w:pPr>
    </w:p>
    <w:p>
      <w:pPr>
        <w:ind w:left="1080" w:right="60" w:hanging="424"/>
        <w:spacing w:after="0" w:line="272"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Satisfy our Customers’ Processor Design Needs in a Mutually Beneficial Way. </w:t>
      </w:r>
      <w:r>
        <w:rPr>
          <w:rFonts w:ascii="Arial" w:cs="Arial" w:eastAsia="Arial" w:hAnsi="Arial"/>
          <w:sz w:val="17"/>
          <w:szCs w:val="17"/>
          <w:color w:val="auto"/>
        </w:rPr>
        <w:t>We invest extensively in creating leading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can be used across a wide range of end markets and customers. As we expect to license our products to multiple customers, we can typically cover the entire cost of developing new Arm products by charging each customer only a portion of the total development costs. The ability to spread costs over multiple customers lowers the costs for the semiconductor designer to license Arm products, versus developing the technology in-house, and enables customers to focus resources on true competitive differentiation unique to their business. In addition, by licensing Arm CPU technology, the licensee immediately gains access to the vast Arm ecosystem, which would be impossible to leverage if they developed their own CPU in- house.</w:t>
      </w:r>
    </w:p>
    <w:p>
      <w:pPr>
        <w:spacing w:after="0" w:line="82" w:lineRule="exact"/>
        <w:rPr>
          <w:rFonts w:ascii="Arial" w:cs="Arial" w:eastAsia="Arial" w:hAnsi="Arial"/>
          <w:sz w:val="17"/>
          <w:szCs w:val="17"/>
          <w:color w:val="auto"/>
        </w:rPr>
      </w:pPr>
    </w:p>
    <w:p>
      <w:pPr>
        <w:ind w:left="1080" w:right="20" w:hanging="424"/>
        <w:spacing w:after="0" w:line="290"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World-Class R&amp;D Team with a Proven Track Record of Innovation. </w:t>
      </w:r>
      <w:r>
        <w:rPr>
          <w:rFonts w:ascii="Arial" w:cs="Arial" w:eastAsia="Arial" w:hAnsi="Arial"/>
          <w:sz w:val="16"/>
          <w:szCs w:val="16"/>
          <w:color w:val="auto"/>
        </w:rPr>
        <w:t>We are an engineering-first company, with 4,753 of our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approximately 80% of our global employees, as of March 31, 2023, focused on research, design, and technical innovation. Our customers rely on us to deliver advanced technology, leveraging our extensive capabilities and differentiated scale across our CPU, GPU, systems, and platform products. Our culture encourages cross collaboration between teams and individuals, and we highly value collective effort. As a result of our unique reach and impact, we are able to attract and retain some of the brightest semiconductor engineers in the world. Our research and development team is prolific at developing new inventions, for which we seek patents to the greatest extent possible. As of March 31, 2023, we owned or co-owned a portfolio of approximately 6,800 issued patents and had approximately 2,700 patent applications pending worldwide, many of which are relevant to the key technologies used in many of the chips manufactured today.</w:t>
      </w:r>
    </w:p>
    <w:p>
      <w:pPr>
        <w:spacing w:after="0" w:line="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assess our investments through the lens of sustainable growth. While our research and development and new business initiatives are often tied to revenue streams five to ten years in the future, the efficiency of our business and the revenue from our historical investments enable profitability and cash flow generation today. Key levers of our growth strategy are:</w:t>
      </w:r>
    </w:p>
    <w:p>
      <w:pPr>
        <w:spacing w:after="0" w:line="89"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Gain or Maintain Share in Long-Term Growth Markets. </w:t>
      </w:r>
      <w:r>
        <w:rPr>
          <w:rFonts w:ascii="Arial" w:cs="Arial" w:eastAsia="Arial" w:hAnsi="Arial"/>
          <w:sz w:val="16"/>
          <w:szCs w:val="16"/>
          <w:color w:val="auto"/>
        </w:rPr>
        <w:t>We already have significant market share in some high-value markets, such as</w:t>
      </w:r>
    </w:p>
    <w:p>
      <w:pPr>
        <w:sectPr>
          <w:pgSz w:w="11900" w:h="16838" w:orient="portrait"/>
          <w:cols w:equalWidth="0" w:num="1">
            <w:col w:w="11100"/>
          </w:cols>
          <w:pgMar w:left="320" w:top="459" w:right="479" w:bottom="1440" w:gutter="0" w:footer="0" w:header="0"/>
        </w:sectPr>
      </w:pPr>
    </w:p>
    <w:p>
      <w:pPr>
        <w:spacing w:after="0" w:line="46" w:lineRule="exact"/>
        <w:rPr>
          <w:sz w:val="20"/>
          <w:szCs w:val="20"/>
          <w:color w:val="auto"/>
        </w:rPr>
      </w:pPr>
    </w:p>
    <w:p>
      <w:pPr>
        <w:ind w:left="1080"/>
        <w:spacing w:after="0" w:line="265" w:lineRule="auto"/>
        <w:rPr>
          <w:sz w:val="20"/>
          <w:szCs w:val="20"/>
          <w:color w:val="auto"/>
        </w:rPr>
      </w:pPr>
      <w:r>
        <w:rPr>
          <w:rFonts w:ascii="Arial" w:cs="Arial" w:eastAsia="Arial" w:hAnsi="Arial"/>
          <w:sz w:val="17"/>
          <w:szCs w:val="17"/>
          <w:color w:val="auto"/>
        </w:rPr>
        <w:t>mobile applications processors, which enables us to invest in other growth opportunities. As of , our market share in growth markets, including cloud computing, networking equipment, automotive and consumer electronics, was %, %, %, and %, respectively. We believe that the increasing need for high-powered and energy-efficient computing, as well as our continued investments, will enable us to grow our market share in these segments. We are gaining share in cloud servers, as we provide CPU</w:t>
      </w:r>
    </w:p>
    <w:p>
      <w:pPr>
        <w:sectPr>
          <w:pgSz w:w="11900" w:h="16838" w:orient="portrait"/>
          <w:cols w:equalWidth="0" w:num="1">
            <w:col w:w="11100"/>
          </w:cols>
          <w:pgMar w:left="320" w:top="459" w:right="479" w:bottom="1440" w:gutter="0" w:footer="0" w:header="0"/>
          <w:type w:val="continuous"/>
        </w:sectPr>
      </w:pPr>
    </w:p>
    <w:p>
      <w:pPr>
        <w:spacing w:after="0" w:line="1" w:lineRule="exact"/>
        <w:rPr>
          <w:sz w:val="20"/>
          <w:szCs w:val="20"/>
          <w:color w:val="auto"/>
        </w:rPr>
      </w:pPr>
    </w:p>
    <w:p>
      <w:pPr>
        <w:ind w:left="1080" w:right="40"/>
        <w:spacing w:after="0" w:line="292" w:lineRule="auto"/>
        <w:rPr>
          <w:sz w:val="20"/>
          <w:szCs w:val="20"/>
          <w:color w:val="auto"/>
        </w:rPr>
      </w:pPr>
      <w:r>
        <w:rPr>
          <w:rFonts w:ascii="Arial" w:cs="Arial" w:eastAsia="Arial" w:hAnsi="Arial"/>
          <w:sz w:val="16"/>
          <w:szCs w:val="16"/>
          <w:color w:val="auto"/>
        </w:rPr>
        <w:t>products that have leading performance per watt, and we provide CSPs with the flexibility to design their own chips to meet their specific needs more effectively, at a much lower cost than purchasing an off-the-shelf chip based on an alternative architecture. Additionally, the automotive market is being transformed through increasingly advanced vehicle software, infotainment, ADAS and eventually autonomous systems, which drives the need for more chips and more advanced chips in every vehicle. We already have a leading share of these new chips being integrated into vehicles today, and we believe we are well positioned to be the CPU architecture for vehicles of the future.</w:t>
      </w:r>
    </w:p>
    <w:p>
      <w:pPr>
        <w:spacing w:after="0" w:line="68" w:lineRule="exact"/>
        <w:rPr>
          <w:sz w:val="20"/>
          <w:szCs w:val="20"/>
          <w:color w:val="auto"/>
        </w:rPr>
      </w:pPr>
    </w:p>
    <w:p>
      <w:pPr>
        <w:ind w:left="1080" w:right="100" w:hanging="424"/>
        <w:spacing w:after="0" w:line="287"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Increase the Value of Arm Processors in Every Smart Device</w:t>
      </w:r>
      <w:r>
        <w:rPr>
          <w:rFonts w:ascii="Arial" w:cs="Arial" w:eastAsia="Arial" w:hAnsi="Arial"/>
          <w:sz w:val="16"/>
          <w:szCs w:val="16"/>
          <w:color w:val="auto"/>
        </w:rPr>
        <w:t>. As chip designs become more advanced and complex, we believe that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 additional functionality, higher performance, higher efficiency, and more specialized designs will allow us to deliver more value to our partners. For smartphones, we continue to increase our investments in CPU and GPU products to provide PC-like speed and graphics and all-day battery life. For the automotive market, our CPUs balance increasing performance with the constraints of energy consumption and heat dissipation, while also meeting the highest Automotive Safety Integrity Level standards required for ADAS and autonomous driving. For servers and high-end networking equipment, we are enabling market-leading core counts. These innovations enable us to license more advanced Arm products, and for our customers to implement Arm-based chips with multiple CPUs and more cores, all of which allow us to capture more value per chip. For example, a chip with an Arm CPU based on the latest Armv9 architecture and with eight cores, plus an Arm GPU, will typically have a much higher royalty rate than a chip with a dual-core Arm CPU core based on an older architecture. Our customers have only just started to ship chips based on the latest Armv9 technology, enabling natural expansion in our royalty per chip as the deployment of our latest technology accelerates.</w:t>
      </w:r>
    </w:p>
    <w:p>
      <w:pPr>
        <w:spacing w:after="0" w:line="77" w:lineRule="exact"/>
        <w:rPr>
          <w:rFonts w:ascii="Arial" w:cs="Arial" w:eastAsia="Arial" w:hAnsi="Arial"/>
          <w:sz w:val="16"/>
          <w:szCs w:val="16"/>
          <w:color w:val="auto"/>
        </w:rPr>
      </w:pPr>
    </w:p>
    <w:p>
      <w:pPr>
        <w:ind w:left="1080" w:right="100" w:hanging="424"/>
        <w:spacing w:after="0" w:line="272"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System IP and SoC Offerings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enable further improvements in performance and efficiency, we continue to develop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broader set of configurable systems IP offerings including proven on-chip interconnect, security IP, memory controllers, and other design IP to be used with our processors. More recently, we have invested in a holistic, solution-focused approach to design, expanding beyond individual design IP elements to providing a more complete system. By delivering SoC solutions optimized for specific use cases, we can ensure that the entire system works together seamlessly to provide maximum performance and efficiency. At the same time, by designing an increasingly greater portion of the overall chip design, we are further reducing incremental development investment and risk borne by our customers while also enabling us to capture more value per device.</w:t>
      </w:r>
    </w:p>
    <w:p>
      <w:pPr>
        <w:spacing w:after="0" w:line="82" w:lineRule="exact"/>
        <w:rPr>
          <w:rFonts w:ascii="Arial" w:cs="Arial" w:eastAsia="Arial" w:hAnsi="Arial"/>
          <w:sz w:val="17"/>
          <w:szCs w:val="17"/>
          <w:color w:val="auto"/>
        </w:rPr>
      </w:pPr>
    </w:p>
    <w:p>
      <w:pPr>
        <w:ind w:left="1080" w:right="60" w:hanging="424"/>
        <w:spacing w:after="0" w:line="279"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 in Next-Generation Technologies. </w:t>
      </w:r>
      <w:r>
        <w:rPr>
          <w:rFonts w:ascii="Arial" w:cs="Arial" w:eastAsia="Arial" w:hAnsi="Arial"/>
          <w:sz w:val="17"/>
          <w:szCs w:val="17"/>
          <w:color w:val="auto"/>
        </w:rPr>
        <w:t>We continuously evaluate emerging markets and technologies that may enable us to create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advanced products that bring more value to our customers and ecosystem. For example, we are leading the way in integrating AI and ML capabilities across all devices through our highly scalable architecture. All modern smartphones are AI and ML capable by virtue of their Arm processors, and we are increasingly working with companies in other</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markets, such as consumer electronics and automotive, to deploy AI-based solutions. For the networking, cloud and data center markets, we continue to add AI-specific features to our CPUs to enable market-leading performance.</w:t>
      </w:r>
    </w:p>
    <w:p>
      <w:pPr>
        <w:spacing w:after="0" w:line="76" w:lineRule="exact"/>
        <w:rPr>
          <w:sz w:val="20"/>
          <w:szCs w:val="20"/>
          <w:color w:val="auto"/>
        </w:rPr>
      </w:pPr>
    </w:p>
    <w:p>
      <w:pPr>
        <w:ind w:left="1080" w:hanging="424"/>
        <w:spacing w:after="0" w:line="255"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Benefit from the Flexibility of Arm Products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Arm processor provides a certain compute capability within a power budget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can be used in multiple different devices that have similar compute requirements. An Arm customer who may have designed a processor for one application may, in the future, find additional applications that can utilize this technology. Consequently, Arm products may be used in new products for new end markets for many years or in some cases decades. For example, a processor originally licensed to go into a chip for a smartphone, can also be used in a chip for a tablet, digital TV, or smart speaker. We expect this trend to continue with growing proliferation of devices and use cases.</w:t>
      </w:r>
    </w:p>
    <w:p>
      <w:pPr>
        <w:spacing w:after="0" w:line="97"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Access to Arm Products Through our Flexible Business Model. </w:t>
      </w:r>
      <w:r>
        <w:rPr>
          <w:rFonts w:ascii="Arial" w:cs="Arial" w:eastAsia="Arial" w:hAnsi="Arial"/>
          <w:sz w:val="18"/>
          <w:szCs w:val="18"/>
          <w:color w:val="auto"/>
        </w:rPr>
        <w:t>We are focused on making Arm products as easy as possible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and to integrate into a chip design. We will continue to expand our flexible engagement model to provide all companies with easy access to Arm products, including low and no-cost offerings for startups. In recent years and with a growing portfolio of new products, we have started to move customers onto product portfolio licenses, where each customer will gain access to a broad portfolio of Arm products. Our business model makes licensing our products much easier by allowing our customers to quickly gain access to Arm products. We believe our business model will encourage customer experimentation and result in a broader range of Arm features being used. Our business model is also designed to provide better alignment between pricing and the value delivered by us across low- and high-end devices.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 and Data Privacy</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are focused on delivering to our customers and third-party partners a secure environment that supports innovation and the development of our products while reinforcing our position as a trusted partner in the ecosystem. We collect, store and otherwise process certain personal, confidential, and proprietary information in the ordinary course of our business, including trade secrets, employee data and other sensitive data. In addition, our third-party partners and customers regularly provide us with highly sensitive information, including details about their future product plans and roadmaps. To protect this information, our dedicated Enterprise Security team works on an ongoing basis to develop our understanding of active threats targeting Arm and its partner ecosystem and effectively leverages this intelligence using security analytics and automated testing to improve our situational awareness and defense. Our security model and controls are based on international standards and industry best practices, such as the National Institute of Standards and Technology’s cyber security framework.</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also have a dedicated privacy team that builds and executes our privacy program, which includes working with our legal team to conduct privacy and impact assessments and reviews, and support data protection and privacy-related requests. We continually monitor the regulatory environment and from time to time make additional changes to our services and business practices to enable us and our customers to comply with applicable laws, regulations, rules, standards, and other obligations. See “Risk Factors—Risks Relating to Government Regulation and Legal Compliance—Actual or perceived failures to satisfy data protection, security, privacy or other laws, regulations, rules, standards and other government-and industry-specific obligations could adversely affect our business, results of operations, financial condition and reputation.”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believe that our architecture and CPU designs are the leading independent processor technologies licensed to other companies. In addition, our established worldwide network of partners and customers affords us broad presence, which paired with an unparalleled software developer ecosystem gives us an advantage over other companies that license processor-related technology. Our products are used in nearly all smartphones, a majority of tablets and digital TVs, and a significant proportion of all chips with embedded processors. In</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addition, we believe that our extensive ecosystem and the high barriers to entry into certain of our end markets enhance our competitive position. The breadth of our ecosystem creates a virtuous cycle that benefits our customers and closely integrates us into their design cycle. We have deep relationships with our customers and ecosystem partners, which provide unique visibility across the entire semiconductor industry.</w:t>
      </w:r>
    </w:p>
    <w:p>
      <w:pPr>
        <w:spacing w:after="0" w:line="1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compete based on a variety of factors, including price, performance, product quality, software availability, marketing and distribution capability, customer support, name recognition and financial strength. Further, given our reliance on our partners and customers, our competitive position is dependent on our partners’ and customers’ competitive positions. In addition, our partners and customers do not license our products exclusively; rather, several of our partners and customers also design, develop, manufacture and market processors based on non-Arm based architectures as well as develop their own Physical IP in-house. Our partners and customers compete with each other and with us in various applications. The level of competition and the nature of the competitor generally varies based on the end market. For established markets where there is an incumbent architecture with a supporting ecosystem, it can be difficult for a new architecture to displace existing architectures and, therefore, to gain market share. For example, we have made significant progress and have established a large market share in markets such as smartphones, consumer electronics and IoT. We face competition primarily from other architectures like x86 and RISC-V in many of these markets. Furthermore, certain semiconductor companies, including some of our existing customers, have designed or are in the process of designing their own architectures in markets such as smartphone application processors, other mobile chips, consumer electronics, IoT and embedded computing, networking equipment, automotive, and cloud servers.</w:t>
      </w:r>
    </w:p>
    <w:p>
      <w:pPr>
        <w:spacing w:after="0" w:line="17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markets for our products are intensely competitive and are characterized by rapid technological change. These changes result in frequent product introductions, short product life cycles and increased product capabilities typically representing significant price and performance improvements. We face significant competition from established technologies such as the x86 architecture, as well as from free, open-source technologies, including the RISC-V architecture. Many of our customers are also major supporters of the RISC-V architecture and related technologies. If the RISC-V architecture and related technologies continue to be developed and market support for RISC-V increases, our customers may choose to utilize this free, open-source architecture instead of our products. The x86 and RISC-V architectures have business models that are different from ours and may be more attractive to our customers. Our current and potential competitors also may establish cooperative relationships among themselves or with third parties that may further enhance their resources or strengthen their positions within these markets or they may be subject to more favorable regulatory regimes. In addition, some semiconductor companies, including certain of our customers, have developed their own proprietary architecture for specific markets or applications.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“Risk Factors—Risks Relating to Our Business and Industry.”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Sales and Partner Enablement</w:t>
      </w:r>
    </w:p>
    <w:p>
      <w:pPr>
        <w:spacing w:after="0" w:line="12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believe that we have the industry’s largest ecosystem of third-party software and hardware partners, including advanced manufacturing, OS and application developers, software tools vendors, and training and support services. The availability of our marketing, sales and support services to our ecosystem is critical to the success of our products and allows us to create and maintain deep customer and partner relationships, through which we have visibility into the future requirements of the end markets for our products. As of March 2023, we had over 650 employees across the world dedicated to marketing, sales, and partner enablement. We market our products directly to our semiconductor partners and customers from our offices across the world. Our CPUs and related technologies are marketed on the basis of a number of factors, including performance, power consumption, price, speed-to-market, support and maintenance offerings and the availability of third-party support. We also capitalize on the extensive marketing and distribution networks of our semiconductor partners who market and distribute our products directly to systems companies.</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solution is used by many different types of customers, including major chip vendors, OEMs, service providers, start-ups or small business units, and researchers and academics. The combination of billions of chips,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shipping into myriad end markets, the breadth of our software ecosystem, and the millions of chip design engineers and software developers collectively has created a virtuous cycle in which software developers write software for Arm-based devices because it is the biggest market for their products, and chip designers choose our processors because they have the broadest support network. As a result, we believe we are well-positioned to continue to attract and retain customers through our dedicated marketing, sales and partner enablement teams.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an engineering-first company, with approximately 80% of our global employees, as of March 31, 2023, focused on research, design, and technical innovation, and we have global operations and research and development centers in the U.K., Europe, North America, India, and Asia-Pacific. Our ability to compete is substantially dependent on advancement of our products in order to meet evolving market demands. Our engineers are involved in researching and developing new versions of processor cores, specialist processors, such as graphics IP and AI accelerators, System IP and Physical IP technology as well as related software and tools applications. Our significant research and development investments and increasing market share in certain markets, such as mobile applications processors, consumer electronics, and embedded computing, enable us to invest more effectively and efficiently in the development of new products in various end markets such as the automotive and cloud computing markets. We have committed, and intend to continue to commit, significant financial and other resources to technology and product innovation and development. For more information about our research and development policies, see “Management’s Discussion and Analysis of Financial Condition and Results of Operations —Components of Results of Operations—Research and Development” and “Management’s Discussion and Analysis of Financial Condition and Results of Operations—Results of Operations—Comparison of Performance for the Fiscal Years Ended March 31, 2022 and 2021—Research and Development.”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Our success and ability to compete effectively depend significantly on protecting our IP. To protect our IP rights, we primarily rely on patent, copyright, trade secret and trademark laws, trade secret protection and confidentiality agreements, as well as license agreements with our employees, customers, partners, and others. We have an active program of protecting our proprietary technology through the filing of patents, registration of trademarks, and use of confidentiality agreements and other IP rights. As of March 31, 2023, we owned or co-owned approximately 6,800 issued patents and have approximately 2,700 patent applications pending worldwide. The majority of these patents and patent applications fall into the categories of processor architecture and microarchitecture, ML and computer vision, graphic processor architecture, on-chip system design and memory technology. We maintain and support an active program to protect our IP, primarily through encouraging engineers to propose new invention submissions and defending issued patents against infringement.</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Approximately 97% of our active patent portfolio (granted and pending) is owned solely by us, or jointly with, our subsidiaries, with the remaining 3% comprising patent assets jointly owned with one or more third parties. Through intra-group licensing arrangements, we have access to our entire patent portfolio for the purposes of licensing technology or otherwise providing services to third parties.</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As a result of our global operations, efforts to protect our technology, trade secrets and other proprietary information can be difficult, particularly in jurisdictions that provide limited or no protection for IP rights. If confidential information (including, but not limited to, trade secrets, and proprietary technology and information) is improperly shared we would likely seek to determine the source and whether or not financial losses could be recovered through contractual claims against a licensee. Additionally, we would seek to block importation of finished goods created in such “limited-protection” territories into territories where there exist better protections. Although we intend to protect our rights vigorously, there can be no assurance that such measures will be successful. See “Risk Factors—Risks Relating to Our Business and Industry—Failure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IPLA with Arm China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party to the IPLA with Arm China.</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Under the IPLA, Arm China licenses certain of our IP from us. In turn, Arm China sublicenses such IP to its PRC customers, as the exclusive distributor of our IP licenses to customers in the PRC.</w:t>
      </w:r>
    </w:p>
    <w:p>
      <w:pPr>
        <w:spacing w:after="0" w:line="76" w:lineRule="exact"/>
        <w:rPr>
          <w:sz w:val="20"/>
          <w:szCs w:val="20"/>
          <w:color w:val="auto"/>
        </w:rPr>
      </w:pPr>
    </w:p>
    <w:p>
      <w:pPr>
        <w:ind w:left="1080" w:hanging="424"/>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Arm China is permitted to sublicense to customers in the PRC. This includes any ultimate parent of a group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in the PRC and traded on any official stock exchange, any entity whose ultimate parent is incorporated in the PRC, and any entity under the ultimate control of a PRC citizen. However, it does not include PRC subsidiaries of companies incorporated outside of the PRC, even though these companies may still sell products in the PRC.</w:t>
      </w:r>
    </w:p>
    <w:p>
      <w:pPr>
        <w:spacing w:after="0" w:line="92"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Products. </w:t>
      </w:r>
      <w:r>
        <w:rPr>
          <w:rFonts w:ascii="Arial" w:cs="Arial" w:eastAsia="Arial" w:hAnsi="Arial"/>
          <w:sz w:val="18"/>
          <w:szCs w:val="18"/>
          <w:color w:val="auto"/>
        </w:rPr>
        <w:t>Arm China can sublicense our standard IP offerings. Arm China is required to procure our consent in order to sublicense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non-standard technology or architectural licenses.</w:t>
      </w:r>
    </w:p>
    <w:p>
      <w:pPr>
        <w:spacing w:after="0" w:line="62" w:lineRule="exact"/>
        <w:rPr>
          <w:rFonts w:ascii="Arial" w:cs="Arial" w:eastAsia="Arial" w:hAnsi="Arial"/>
          <w:sz w:val="18"/>
          <w:szCs w:val="18"/>
          <w:color w:val="auto"/>
        </w:rPr>
      </w:pPr>
    </w:p>
    <w:p>
      <w:pPr>
        <w:ind w:left="1100" w:right="280"/>
        <w:spacing w:after="0" w:line="277" w:lineRule="auto"/>
        <w:rPr>
          <w:rFonts w:ascii="Arial" w:cs="Arial" w:eastAsia="Arial" w:hAnsi="Arial"/>
          <w:sz w:val="18"/>
          <w:szCs w:val="18"/>
          <w:color w:val="auto"/>
        </w:rPr>
      </w:pPr>
      <w:r>
        <w:rPr>
          <w:rFonts w:ascii="Arial" w:cs="Arial" w:eastAsia="Arial" w:hAnsi="Arial"/>
          <w:sz w:val="18"/>
          <w:szCs w:val="18"/>
          <w:color w:val="auto"/>
        </w:rPr>
        <w:t>We may remove any sublicensable IP that we declare obsolete or no longer generally make available to our licensees, whereupon Arm China’s rights with respect to such IP are limited to licenses it previously granted.</w:t>
      </w:r>
    </w:p>
    <w:p>
      <w:pPr>
        <w:spacing w:after="0" w:line="62" w:lineRule="exact"/>
        <w:rPr>
          <w:rFonts w:ascii="Arial" w:cs="Arial" w:eastAsia="Arial" w:hAnsi="Arial"/>
          <w:sz w:val="18"/>
          <w:szCs w:val="18"/>
          <w:color w:val="auto"/>
        </w:rPr>
      </w:pPr>
    </w:p>
    <w:p>
      <w:pPr>
        <w:ind w:left="1100" w:right="20"/>
        <w:spacing w:after="0" w:line="277" w:lineRule="auto"/>
        <w:rPr>
          <w:rFonts w:ascii="Arial" w:cs="Arial" w:eastAsia="Arial" w:hAnsi="Arial"/>
          <w:sz w:val="18"/>
          <w:szCs w:val="18"/>
          <w:color w:val="auto"/>
        </w:rPr>
      </w:pPr>
      <w:r>
        <w:rPr>
          <w:rFonts w:ascii="Arial" w:cs="Arial" w:eastAsia="Arial" w:hAnsi="Arial"/>
          <w:sz w:val="18"/>
          <w:szCs w:val="18"/>
          <w:color w:val="auto"/>
        </w:rPr>
        <w:t>Arm China may only distribute our IP in accordance with our model license terms provided by us. Any deviations from our model license terms require our consent.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There are no material restrictions under the IPLA on the prices that Arm China may set for its sublicenses.</w:t>
      </w:r>
    </w:p>
    <w:p>
      <w:pPr>
        <w:spacing w:after="0" w:line="130" w:lineRule="exact"/>
        <w:rPr>
          <w:rFonts w:ascii="Arial" w:cs="Arial" w:eastAsia="Arial" w:hAnsi="Arial"/>
          <w:sz w:val="18"/>
          <w:szCs w:val="18"/>
          <w:color w:val="auto"/>
        </w:rPr>
      </w:pPr>
    </w:p>
    <w:p>
      <w:pPr>
        <w:ind w:left="1080" w:right="240" w:hanging="424"/>
        <w:spacing w:after="0" w:line="25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The initial term of the IPLA is through April 23, 2048, after which the IPLA will automatically renew for consecutive 10-year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until the later of (a) the last to expire of the patents licensed pursuant to the IPLA expires and (b) the last of the trade secrets licensed pursuant to the IPLA ceases to be confidential (other than through the fault of us or Arm China). During the term of the IPLA, Arm China may grant sublicenses to its PRC customers. There are no material restrictions on the duration of the sublicenses that Arm China provides during the term of the IPLA.</w:t>
      </w:r>
    </w:p>
    <w:p>
      <w:pPr>
        <w:spacing w:after="0" w:line="93"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We and Arm China each have the ability to unilaterally terminate the IPLA upon the occurrence of standard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such as the non-terminating party’s material uncured breach of the IPLA, bankruptcy or extended force majeure event of at least 180 days having a material adverse effect on the terminating party.</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the IPLA, Arm China may also develop its own IP. However, Arm China is only permitted to develop (i) certain derivative products incorporating our IP and (ii) Arm China’s own products that do not incorporate our IP, where such products constitute technology related to IC products or technology that enables companies to build ICs, and exclude any “processor cores.”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under the IPLA,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the fiscal years ended March 31, 2023, 2022, and 2021, revenues attributable to our relationship with Arm China were approximately %, 18%, and 20% of our total revenues, respectively.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See “Risk Factors—Risks Relating to Our Business and Industry—We depend on our commercial relationship with Arm China to access the PRC market. If that commercial relationship no longer existed or deteriorates, our ability to compete in the PRC market could be materially and adversely affected” and “Risk Factors—Risks Relating to Our Business and Industry—Neither we nor SoftBank controls the operations of Arm China, which operates independently of us.”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9" w:right="5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 and Human Capital Resources</w:t>
      </w:r>
    </w:p>
    <w:p>
      <w:pPr>
        <w:spacing w:after="0" w:line="121"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Our Core Beliefs define how we work together to ensure our continued success. We believe that our employees’ commitment to developing and contributing positively to our culture in a manner consistent with our Core Beliefs is a differentiating factor that creates a competitive advantage for us and our ecosystem, supports the execution of our long-term business strategy and is attractive to current and prospective employees. Our Core Beliefs are an important aspiration for us and, as part of their annual review, our people are rated on how effectively they live our Core Beliefs.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three Core Beliefs are:</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 great things</w:t>
      </w:r>
      <w:r>
        <w:rPr>
          <w:rFonts w:ascii="Arial" w:cs="Arial" w:eastAsia="Arial" w:hAnsi="Arial"/>
          <w:sz w:val="18"/>
          <w:szCs w:val="18"/>
          <w:color w:val="auto"/>
        </w:rPr>
        <w:t>”—working at pace, embracing challenges, finding a way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not I</w:t>
      </w:r>
      <w:r>
        <w:rPr>
          <w:rFonts w:ascii="Arial" w:cs="Arial" w:eastAsia="Arial" w:hAnsi="Arial"/>
          <w:sz w:val="18"/>
          <w:szCs w:val="18"/>
          <w:color w:val="auto"/>
        </w:rPr>
        <w:t>”—winning together, not alone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 your brilliant self</w:t>
      </w:r>
      <w:r>
        <w:rPr>
          <w:rFonts w:ascii="Arial" w:cs="Arial" w:eastAsia="Arial" w:hAnsi="Arial"/>
          <w:sz w:val="18"/>
          <w:szCs w:val="18"/>
          <w:color w:val="auto"/>
        </w:rPr>
        <w:t>”—exemplified by skillful individuality, performance, and inclusion</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line with our focus on embedding Diversity, Equity and Inclusion (“DEI”) in everything we do, DEI practices are integrated into each of our Core Beliefs.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part of our Employee Value Proposition, we have made a series of commitments to our people and their experience of working at Arm that we measure through our annual engagement survey. These include ensuring our people contribute to solving the world’s complex technology problems and spend their time on valuable work that matters; rewarding our people competitively and equitably for the work they do and the skills and experience they bring to Arm; developing our people towards the careers they want and supporting their success in work and life; co-creating an inclusive environment by integrating DEI practices into everything we do; and using our position as a global company to be a force for good.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We know that diverse teams drive innovation and creativity, excel at solving complex problems and make better decisions. We are committed to fostering a culture of inclusion in which representation matters, people are valued, diverse perspectives are heard, and everyone’s skills are utilized.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foundation of our DEI strategy is to integrate DEI practices into everything we do. We have four pillars of our DEI strategy:</w:t>
      </w:r>
    </w:p>
    <w:p>
      <w:pPr>
        <w:spacing w:after="0" w:line="13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People</w:t>
      </w:r>
      <w:r>
        <w:rPr>
          <w:rFonts w:ascii="Arial" w:cs="Arial" w:eastAsia="Arial" w:hAnsi="Arial"/>
          <w:sz w:val="18"/>
          <w:szCs w:val="18"/>
          <w:color w:val="auto"/>
        </w:rPr>
        <w:t>—Hire, support, and empower talent from all backgrounds at all levels throughout the entire employee life cycle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Culture</w:t>
      </w:r>
      <w:r>
        <w:rPr>
          <w:rFonts w:ascii="Arial" w:cs="Arial" w:eastAsia="Arial" w:hAnsi="Arial"/>
          <w:sz w:val="18"/>
          <w:szCs w:val="18"/>
          <w:color w:val="auto"/>
        </w:rPr>
        <w:t>—Embody core beliefs and inclusive actions every day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Leadership</w:t>
      </w:r>
      <w:r>
        <w:rPr>
          <w:rFonts w:ascii="Arial" w:cs="Arial" w:eastAsia="Arial" w:hAnsi="Arial"/>
          <w:sz w:val="18"/>
          <w:szCs w:val="18"/>
          <w:color w:val="auto"/>
        </w:rPr>
        <w:t>—Lead internally and externally with DEI as a business, people, and culture imperative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Partnerships</w:t>
      </w:r>
      <w:r>
        <w:rPr>
          <w:rFonts w:ascii="Arial" w:cs="Arial" w:eastAsia="Arial" w:hAnsi="Arial"/>
          <w:sz w:val="18"/>
          <w:szCs w:val="18"/>
          <w:color w:val="auto"/>
        </w:rPr>
        <w:t>—Utilize DEI as a strategic enabler across the ecosystem</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developed and regularly review performance indicators to evaluate our progress in pursuit of our DEI priorities. For example, we have a company-wide accountability measure for “commitment to DEI” as part of the annual review process. In the past two years, over % of our people have intentionally and consistently taken action to support our DEI strategy.</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2022, we were among the winners of the annual Glassdoor Employees’ Choice Awards for the best places to work in the U.K. This award is entirely based on voluntary and anonymous feedback that our employees have shared on Glassdoor.</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40"/>
          </w:cols>
          <w:pgMar w:left="320" w:top="459" w:right="5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Wellbeing and Benefits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invest in our people by taking a holistic approach to their wellbeing, which includes physical, mental, social, and financial wellbeing. We offer a range of benefits and programs, like flexible work hours and time off for life-changing and defining situations through our progressive leave policy and support for new parents.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Talent</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aspire to attract, engage, and retain the innovators of tomorrow, and we aim to recruit individuals with diverse backgrounds, skills, and abilities who will contribute to our success. We seek candidates through a variety of channels, including job boards, social networks, universities and more. Our employee referral program is one of our key recruitment tools and, on average, nearly 25% of our hires each quarter join us following a referral by one of our employees.</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part of our Early Careers program, we recruited over 150 university graduates globally in the fiscal year ended March 31, 2023, spread across our offices in the U.K., U.S., India and Europe.</w:t>
      </w:r>
    </w:p>
    <w:p>
      <w:pPr>
        <w:spacing w:after="0" w:line="170"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Putting DEI at the heart of our recruiting, we have strategic partnerships to source interns, apprentices, and graduates, and we collaborate with other organizations to recruit individuals with diverse backgrounds. We are committed to a hiring process free of any bias or discrimination and in compliance with applicable laws in each of the countries in which we operate.</w:t>
      </w:r>
    </w:p>
    <w:p>
      <w:pPr>
        <w:spacing w:after="0" w:line="184"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We have a learning culture where colleagues are empowered to own and drive development to meet their work and personal goals by learning through the shared experience of others, learning resources and practice. We invest heavily in technical development with a dedicated team to support colleagues in obtaining the proper training to advance their technical capabilities in support of our strategy.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Employees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employ a global workforce that spans across 19 countries. As of March 31, 2023, approximately 80% of our 5,963 global employees were engaged in engineering activities delivering products for our partners to schedule and specification as well as driving innovations in our industry. During the fiscal year ended March 31, 2023, we engaged an average of 1,539 contractors and consultants.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number of our employees and contractors for each of the past three financial years: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Function</w:t>
            </w:r>
          </w:p>
        </w:tc>
        <w:tc>
          <w:tcPr>
            <w:tcW w:w="2700" w:type="dxa"/>
            <w:vAlign w:val="bottom"/>
          </w:tcPr>
          <w:p>
            <w:pPr>
              <w:spacing w:after="0"/>
              <w:rPr>
                <w:sz w:val="16"/>
                <w:szCs w:val="16"/>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2023</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1860" w:type="dxa"/>
            <w:vAlign w:val="bottom"/>
            <w:gridSpan w:val="3"/>
          </w:tcPr>
          <w:p>
            <w:pPr>
              <w:ind w:left="840"/>
              <w:spacing w:after="0"/>
              <w:rPr>
                <w:sz w:val="20"/>
                <w:szCs w:val="20"/>
                <w:color w:val="auto"/>
              </w:rPr>
            </w:pPr>
            <w:r>
              <w:rPr>
                <w:rFonts w:ascii="Arial" w:cs="Arial" w:eastAsia="Arial" w:hAnsi="Arial"/>
                <w:sz w:val="14"/>
                <w:szCs w:val="14"/>
                <w:b w:val="1"/>
                <w:bCs w:val="1"/>
                <w:color w:val="auto"/>
              </w:rPr>
              <w:t>March 31, 2021</w:t>
            </w:r>
          </w:p>
        </w:tc>
      </w:tr>
      <w:tr>
        <w:trPr>
          <w:trHeight w:val="203"/>
        </w:trPr>
        <w:tc>
          <w:tcPr>
            <w:tcW w:w="326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Engineering</w:t>
            </w:r>
          </w:p>
        </w:tc>
        <w:tc>
          <w:tcPr>
            <w:tcW w:w="1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4,753</w:t>
            </w:r>
          </w:p>
        </w:tc>
        <w:tc>
          <w:tcPr>
            <w:tcW w:w="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4,758</w:t>
            </w:r>
          </w:p>
        </w:tc>
        <w:tc>
          <w:tcPr>
            <w:tcW w:w="8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4,712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260" w:type="dxa"/>
            <w:vAlign w:val="bottom"/>
            <w:gridSpan w:val="2"/>
          </w:tcPr>
          <w:p>
            <w:pPr>
              <w:ind w:left="360"/>
              <w:spacing w:after="0"/>
              <w:rPr>
                <w:sz w:val="20"/>
                <w:szCs w:val="20"/>
                <w:color w:val="auto"/>
              </w:rPr>
            </w:pPr>
            <w:r>
              <w:rPr>
                <w:rFonts w:ascii="Arial" w:cs="Arial" w:eastAsia="Arial" w:hAnsi="Arial"/>
                <w:sz w:val="18"/>
                <w:szCs w:val="18"/>
                <w:color w:val="auto"/>
              </w:rPr>
              <w:t>Non-Engineering</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1,210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1,571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Geographic Distribution</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360"/>
              <w:spacing w:after="0"/>
              <w:rPr>
                <w:sz w:val="20"/>
                <w:szCs w:val="20"/>
                <w:color w:val="auto"/>
              </w:rPr>
            </w:pPr>
            <w:r>
              <w:rPr>
                <w:rFonts w:ascii="Arial" w:cs="Arial" w:eastAsia="Arial" w:hAnsi="Arial"/>
                <w:sz w:val="18"/>
                <w:szCs w:val="18"/>
                <w:color w:val="auto"/>
              </w:rPr>
              <w:t>United Kingdom</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3,219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3,161</w:t>
            </w: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6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360"/>
              <w:spacing w:after="0"/>
              <w:rPr>
                <w:sz w:val="20"/>
                <w:szCs w:val="20"/>
                <w:color w:val="auto"/>
              </w:rPr>
            </w:pPr>
            <w:r>
              <w:rPr>
                <w:rFonts w:ascii="Arial" w:cs="Arial" w:eastAsia="Arial" w:hAnsi="Arial"/>
                <w:sz w:val="18"/>
                <w:szCs w:val="18"/>
                <w:color w:val="auto"/>
              </w:rPr>
              <w:t>India</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0" w:type="dxa"/>
            <w:vAlign w:val="bottom"/>
            <w:shd w:val="clear" w:color="auto" w:fill="CCEEFF"/>
          </w:tcPr>
          <w:p>
            <w:pPr>
              <w:spacing w:after="0"/>
              <w:rPr>
                <w:sz w:val="18"/>
                <w:szCs w:val="18"/>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 Employees</w:t>
            </w: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8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6,329</w:t>
            </w:r>
          </w:p>
        </w:tc>
        <w:tc>
          <w:tcPr>
            <w:tcW w:w="8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6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consider relations with our employees to be good and have never experienced a work stoppage. Our employees in France and Hungary are represented by works councils. We consider our relationship with these works councils to be productive and constructive, and there are currently no ongoing disputes.</w:t>
      </w:r>
    </w:p>
    <w:p>
      <w:pPr>
        <w:spacing w:after="0" w:line="184" w:lineRule="exact"/>
        <w:rPr>
          <w:sz w:val="20"/>
          <w:szCs w:val="20"/>
          <w:color w:val="auto"/>
        </w:rPr>
      </w:pPr>
    </w:p>
    <w:p>
      <w:pPr>
        <w:jc w:val="both"/>
        <w:ind w:left="120" w:right="300" w:firstLine="440"/>
        <w:spacing w:after="0" w:line="277" w:lineRule="auto"/>
        <w:rPr>
          <w:sz w:val="20"/>
          <w:szCs w:val="20"/>
          <w:color w:val="auto"/>
        </w:rPr>
      </w:pPr>
      <w:r>
        <w:rPr>
          <w:rFonts w:ascii="Arial" w:cs="Arial" w:eastAsia="Arial" w:hAnsi="Arial"/>
          <w:sz w:val="18"/>
          <w:szCs w:val="18"/>
          <w:color w:val="auto"/>
        </w:rPr>
        <w:t>During the fiscal year ended March 31, 2023, we restructured our business to focus on activities that move our strategy forward while taking a more disciplined approach on our costs and investment activities. To achieve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256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7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7340" w:type="dxa"/>
            <w:vAlign w:val="bottom"/>
          </w:tcPr>
          <w:p>
            <w:pPr>
              <w:jc w:val="center"/>
              <w:ind w:right="1130"/>
              <w:spacing w:after="0"/>
              <w:rPr>
                <w:sz w:val="20"/>
                <w:szCs w:val="20"/>
                <w:color w:val="auto"/>
              </w:rPr>
            </w:pPr>
            <w:r>
              <w:rPr>
                <w:rFonts w:ascii="Arial" w:cs="Arial" w:eastAsia="Arial" w:hAnsi="Arial"/>
                <w:sz w:val="18"/>
                <w:szCs w:val="18"/>
                <w:b w:val="1"/>
                <w:bCs w:val="1"/>
                <w:color w:val="auto"/>
                <w:w w:val="91"/>
              </w:rPr>
              <w:t>Confidential Treatment Requested by Arm Holdings Limited</w:t>
            </w:r>
          </w:p>
        </w:tc>
        <w:tc>
          <w:tcPr>
            <w:tcW w:w="11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340" w:type="dxa"/>
            <w:vAlign w:val="bottom"/>
          </w:tcPr>
          <w:p>
            <w:pPr>
              <w:jc w:val="center"/>
              <w:ind w:right="1130"/>
              <w:spacing w:after="0"/>
              <w:rPr>
                <w:sz w:val="20"/>
                <w:szCs w:val="20"/>
                <w:color w:val="auto"/>
              </w:rPr>
            </w:pPr>
            <w:r>
              <w:rPr>
                <w:rFonts w:ascii="Arial" w:cs="Arial" w:eastAsia="Arial" w:hAnsi="Arial"/>
                <w:sz w:val="18"/>
                <w:szCs w:val="18"/>
                <w:b w:val="1"/>
                <w:bCs w:val="1"/>
                <w:color w:val="auto"/>
                <w:w w:val="89"/>
              </w:rPr>
              <w:t>Pursuant to 17 C.F.R. Section 200.83</w:t>
            </w:r>
          </w:p>
        </w:tc>
        <w:tc>
          <w:tcPr>
            <w:tcW w:w="1180" w:type="dxa"/>
            <w:vAlign w:val="bottom"/>
          </w:tcPr>
          <w:p>
            <w:pPr>
              <w:spacing w:after="0"/>
              <w:rPr>
                <w:sz w:val="20"/>
                <w:szCs w:val="20"/>
                <w:color w:val="auto"/>
              </w:rPr>
            </w:pPr>
          </w:p>
        </w:tc>
      </w:tr>
      <w:tr>
        <w:trPr>
          <w:trHeight w:val="350"/>
        </w:trPr>
        <w:tc>
          <w:tcPr>
            <w:tcW w:w="9900" w:type="dxa"/>
            <w:vAlign w:val="bottom"/>
            <w:gridSpan w:val="3"/>
          </w:tcPr>
          <w:p>
            <w:pPr>
              <w:ind w:left="120"/>
              <w:spacing w:after="0"/>
              <w:rPr>
                <w:sz w:val="20"/>
                <w:szCs w:val="20"/>
                <w:color w:val="auto"/>
              </w:rPr>
            </w:pPr>
            <w:r>
              <w:rPr>
                <w:rFonts w:ascii="Arial" w:cs="Arial" w:eastAsia="Arial" w:hAnsi="Arial"/>
                <w:sz w:val="18"/>
                <w:szCs w:val="18"/>
                <w:color w:val="auto"/>
                <w:w w:val="93"/>
              </w:rPr>
              <w:t>this, we stopped work that was duplicative or no longer critical to our future success. This restructuring resulted in the termination of</w:t>
            </w:r>
          </w:p>
        </w:tc>
        <w:tc>
          <w:tcPr>
            <w:tcW w:w="1180" w:type="dxa"/>
            <w:vAlign w:val="bottom"/>
          </w:tcPr>
          <w:p>
            <w:pPr>
              <w:ind w:left="240"/>
              <w:spacing w:after="0"/>
              <w:rPr>
                <w:sz w:val="20"/>
                <w:szCs w:val="20"/>
                <w:color w:val="auto"/>
              </w:rPr>
            </w:pPr>
            <w:r>
              <w:rPr>
                <w:rFonts w:ascii="Arial" w:cs="Arial" w:eastAsia="Arial" w:hAnsi="Arial"/>
                <w:sz w:val="18"/>
                <w:szCs w:val="18"/>
                <w:color w:val="auto"/>
                <w:w w:val="96"/>
              </w:rPr>
              <w:t>general and</w:t>
            </w:r>
          </w:p>
        </w:tc>
      </w:tr>
      <w:tr>
        <w:trPr>
          <w:trHeight w:val="230"/>
        </w:trPr>
        <w:tc>
          <w:tcPr>
            <w:tcW w:w="2560" w:type="dxa"/>
            <w:vAlign w:val="bottom"/>
            <w:gridSpan w:val="2"/>
          </w:tcPr>
          <w:p>
            <w:pPr>
              <w:ind w:left="120"/>
              <w:spacing w:after="0"/>
              <w:rPr>
                <w:sz w:val="20"/>
                <w:szCs w:val="20"/>
                <w:color w:val="auto"/>
              </w:rPr>
            </w:pPr>
            <w:r>
              <w:rPr>
                <w:rFonts w:ascii="Arial" w:cs="Arial" w:eastAsia="Arial" w:hAnsi="Arial"/>
                <w:sz w:val="18"/>
                <w:szCs w:val="18"/>
                <w:color w:val="auto"/>
                <w:w w:val="98"/>
              </w:rPr>
              <w:t>administrative positions across</w:t>
            </w:r>
          </w:p>
        </w:tc>
        <w:tc>
          <w:tcPr>
            <w:tcW w:w="8520" w:type="dxa"/>
            <w:vAlign w:val="bottom"/>
            <w:gridSpan w:val="2"/>
          </w:tcPr>
          <w:p>
            <w:pPr>
              <w:ind w:left="220"/>
              <w:spacing w:after="0"/>
              <w:rPr>
                <w:sz w:val="20"/>
                <w:szCs w:val="20"/>
                <w:color w:val="auto"/>
              </w:rPr>
            </w:pPr>
            <w:r>
              <w:rPr>
                <w:rFonts w:ascii="Arial" w:cs="Arial" w:eastAsia="Arial" w:hAnsi="Arial"/>
                <w:sz w:val="18"/>
                <w:szCs w:val="18"/>
                <w:color w:val="auto"/>
                <w:w w:val="90"/>
              </w:rPr>
              <w:t>countries. Most of these terminations were in the U.K. and the U.S. The restructuring was completed by June 2022.</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460" w:firstLine="440"/>
        <w:spacing w:after="0" w:line="277" w:lineRule="auto"/>
        <w:rPr>
          <w:sz w:val="20"/>
          <w:szCs w:val="20"/>
          <w:color w:val="auto"/>
        </w:rPr>
      </w:pPr>
      <w:r>
        <w:rPr>
          <w:rFonts w:ascii="Arial" w:cs="Arial" w:eastAsia="Arial" w:hAnsi="Arial"/>
          <w:sz w:val="18"/>
          <w:szCs w:val="18"/>
          <w:color w:val="auto"/>
        </w:rPr>
        <w:t>There are currently no plans for future restructuring; however, we continue to proactively review our organizational design in relation to our evolving business needs and make ordinary course adjustments, as necessary or appropriate, on an ongoing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Social and Governance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believe in the power of technology to build a better world for everyone, but we understand that technological advancement cannot be achieved at the expense of the environment or our societal well-being. We are committed to maximizing our positive societal impact; minimizing our climate impact; and promoting ethical and responsible business practices and the personal wellbeing of our employees and the communities we impact.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Decarbonizing Compute</w:t>
      </w:r>
    </w:p>
    <w:p>
      <w:pPr>
        <w:spacing w:after="0" w:line="11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Arm has a long-term ambition to contribute to decarbonizing compute, and we are working towards this goal by first seeking to reduce our own carbon emissions. In September 2020, we committed to achieving net zero carbon by 2030, 20 years ahead of the 2050 target outlined in the United Nations’ Paris Climate Agreement. To achieve this, we are committed to taking a science-aligned approach to cut absolute emissions by 50% (from a 2019 baseline) by 2030 and follow a 1.5° Celsius pathway. We have committed to a 42% reduction in supply-chain carbon, which is supported by our work with the Carbon Disclosure Project (“CDP”) Supply Chain. Through the CDP Supply Chain, we have gathered data to reduce supply chain emissions, and the next step is to work with suppliers to reduce these emissions.</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also recognize that our power and energy efficient products have a role to play in decarbonizing compute, and our longer-term objective is to explore how we can continue to maximize these initiatives within our ecosystem. We recognize the importance of transparent reporting and produce comprehensive reports that demonstrate our commitment to the issues that are material to our business and stakeholders, for example by reporting against the Global Reporting Initiative Index and to the CDP.</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Closing the Digital Divide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are working to maximize our positive social impact by closing the digital divide between those who have full access to digital technologies and the billions of people who currently do not. We do this with our employees and our ecosystem of social impact partners to find opportunities where we can add value and expertise. Through our AFA and developer programs, we have lowered the barriers to using our products and this has had a positive impact on start-ups and initiatives in the environmental and social space.</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Our Arm Education initiative aims to help close education and skills gaps in Computer Engineering and STEM. As part of the initiative, we provide teaching and learning resources, IP, tools, and other support to universities and work closely with academic and industry partners on research collaborations. Since 2013, we have supported and collaborated with over 2,500 universities worldwide and enabled more than 10,000 Arm-based classes.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Community Engagement</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At a local level, Team Arm, our employee community engagement program, provides our people with opportunities to volunteer and fundraise for charitable purposes. Everyone at Arm is entitled to time off once per month to engage in volunteer activities.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45" w:right="4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strive to be a leader in corporate responsibility and demonstrate our values through responsible business practices. We are guided by a defined governance framework with a core moral stance on issues such as AI, ethics, security and safety. Our Board of Directors is responsible for reviewing our policies, metrics and risks that relate to ESG. Further, our management team maintains a Sustainability Committee that oversees and monitors the implementation of our sustainability programs, and ESG risks are reported through management’s Risk Review Committee.</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intend to continue to examine the sustainability topics that are most relevant for our business and stakeholders as we further develop and advance our sustainability strategy. We have established company policies, including, our Code of Conduct, our Code of Conduct for Suppliers, our Anti-Bribery and Corruption Policy and DEI policies, that support our efforts to operate sustainably by guiding our employees, partners and suppliers in their business dealings and requiring compliance with applicable laws and regulations. These company policies address practices and requirements that we have established with respect to environmental protection, responsible sourcing, human rights, labor standards and ethics, diversity, and compliance, among other topics. We review these policies regularly to ensure that they remain relevant to our organization, our people, our partners and applicable laws and regulation.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Our global headquarters are located in Cambridge, U.K., occupying approximately 322,950 square feet of leased office space in the aggregate, with the leases expiring between 2023 and 2044. We are currently on a temporary extension of one of the leases for our global headquarters while we negotiate the lease renewal. We also lease additional facilities in Belgium, Denmark, France, Germany, Hungary, India, Ireland, Israel, Japan, South Korea, Norway, Poland, Slovenia, Sweden, Taiwan, the U.K., and the U.S.</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believe that our current global headquarters and global offices are well maintained and adequate for our current needs and that suitable additional or substitute space at commercially reasonable terms will be available as needed.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are subject to regulation by various governmental agencies, including, but not limited to, such agencies in the U.K., the European Union, the U.S., and the PRC. These laws and regulations affect our activities in areas including, but not limited to, labor, telecommunications, IP ownership and infringement, tax, economic sanctions, import and export requirements and controls, anti-corruption, national security and foreign investment, foreign exchange controls and cash repatriation restrictions, privacy and data protection (such as the GDPR, the U.K. GDPR, and the CCPA), security and cybersecurity, and data localization requirements, anti-competition, environmental, health and safety, financial reporting and the certification requirements associated with public sector contracts. We monitor changes in these laws, regulations, treaties, and agreements, and believe that we are in material compliance with applicable laws. See “Risk Factors—Risks Relating to Government Regulation and Legal Compliance” and “Risk Factors— Risks Relating to U.S. and U.K. Tax Regimes.”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In addition, under our customer agreements, we agree in some cases to indemnify our customers if a third party files a claim in court or another venue asserting that our products infringe such third party’s IP rights. Although we do not agree to indemnify our customers’ end</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customers, such end customers may be subject to infringement claims and may initiate claims against us as a result. We are currently involved in pending litigation, including, but not limited to, a lawsuit that we issued against Qualcomm and Nuvia in the United States District Court for the District of Delaware (Case No. 1:22-cv-01146). In addition, our products are involved in pending litigation to which we are not a party. We cannot provide you any assurances regarding how any such litigation will be resolved, what benefits we will obtain or what losses we might incur. The results of any current or future litigation cannot be predicted with certainty, and regardless of the outcome, litigation can have an adverse impact on us because of defense and settlement costs, diversion of management resources and other factors. See “Risk Factors—Risks Relating to Our Business and Industry—We are currently involved in pending litigation” and “Risk Factors—Risks Relating to Our Business and Industry—We may be sued by third parties for alleged infringement, misappropriation or other violation of their IP rights or proprietary rights and our defense against these claims can be costly</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AND EXECUTIVE REMUNERATION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080" w:type="dxa"/>
            <w:vAlign w:val="bottom"/>
          </w:tcPr>
          <w:p>
            <w:pPr>
              <w:ind w:left="2220"/>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Masayoshi Son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D. Fisher</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Jeffrey A. Sine</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E. Dykstra</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Anthony Michael Fadell</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Rosemary Schooler</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Paul E. Jacobs, PhD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02"/>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Rene Haas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Child</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Kirsty Gill</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 People Officer</w:t>
            </w: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Collins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Legal Officer</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Richard Grisenthwaite</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 Architect</w:t>
            </w: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 Abbey</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Commercial Officer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Non-Executive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Masayoshi Son </w:t>
      </w:r>
      <w:r>
        <w:rPr>
          <w:rFonts w:ascii="Arial" w:cs="Arial" w:eastAsia="Arial" w:hAnsi="Arial"/>
          <w:sz w:val="17"/>
          <w:szCs w:val="17"/>
          <w:color w:val="auto"/>
        </w:rPr>
        <w:t>has served as a Director and Chairman of our Board of Directors since March 2018. From September 2016 to March 2018,</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Son served as Chairman of the Board of Directors of Arm Holdings plc. Mr. Son founded SoftBank in September 1981 and has been its Chairman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Chief Executive Officer since February 1986. Founded initially as a PC software distribution business, SoftBank and its portfolio of companies have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expanded to cover a range of technologies, including advanced telecommunications, internet services, AI, smart robotics, and IoT. Mr. Son has overseen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investments in some of the world’s fastest-growing technology companies. Mr. Son serves in various capacities within SoftBank’s portfolio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companies, including SoftBank Corp. (Japanese Telecommunication Operator) as its Chairman since 2015 and served as its Chairman and Chief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Executive Officer from 2006 to 2015. Mr. Son has also served as Honorary Chairman of the Broadband Association in Japan.</w:t>
      </w:r>
    </w:p>
    <w:p>
      <w:pPr>
        <w:spacing w:after="0" w:line="211"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Mr. Son was selected to serve on our Board of Directors because of his vast executive leadership experience, including through his service as Chairman and Chief Executive Officer of SoftBank, a large international public company and our controlling shareholder, along with his significant expertise in technology and innovation.</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 xml:space="preserve">Ronald D. Fisher </w:t>
      </w:r>
      <w:r>
        <w:rPr>
          <w:rFonts w:ascii="Arial" w:cs="Arial" w:eastAsia="Arial" w:hAnsi="Arial"/>
          <w:sz w:val="18"/>
          <w:szCs w:val="18"/>
          <w:color w:val="auto"/>
        </w:rPr>
        <w:t>has served as a Director of our Board of Directors since March 2018. Mr. Fisher is a Senior Advisor at SoftBank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Mr. Fisher joined SoftBank in 1995 and was the founder and Managing Partner of SoftBank Capital. Mr. Fisher joined the Board of SoftBank in 1997 and was Vice Chairman from 2017 to 2022. Mr. Fisher has more than 40 years of experience of working with high-growth and turnaround technology companies. Prior to joining SoftBank, Mr. Fisher was the Chief Executive Officer of Phoenix Technologies Ltd., the leading developer and marketer of system software products for personal computers, from 1990 to 1995. Mr. Fisher joined Phoenix from Interactive Systems Corporation, a UNIX</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software company that was purchased by the Eastman Kodak Company in 1988. Mr. Fisher served for five years as President, initially as Chief Operating Officer and then Chief Executive Officer at Interactive Systems. Mr. Fisher earned an MBA from Columbia University and a Bachelor of Commerce from the University of Witwatersrand in South Africa.</w:t>
      </w:r>
    </w:p>
    <w:p>
      <w:pPr>
        <w:spacing w:after="0" w:line="18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Mr. Fisher was selected to serve on our Board of Directors due to his extensive business, operational and management experience in the technology industry.</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Jeffrey A. Sine </w:t>
      </w:r>
      <w:r>
        <w:rPr>
          <w:rFonts w:ascii="Arial" w:cs="Arial" w:eastAsia="Arial" w:hAnsi="Arial"/>
          <w:sz w:val="18"/>
          <w:szCs w:val="18"/>
          <w:color w:val="auto"/>
        </w:rPr>
        <w:t>has served as a Director of our Board of Directors since September 2022. Mr. Sine is the Co-Founder and Partner of The Raine</w:t>
      </w:r>
      <w:r>
        <w:rPr>
          <w:rFonts w:ascii="Arial" w:cs="Arial" w:eastAsia="Arial" w:hAnsi="Arial"/>
          <w:sz w:val="18"/>
          <w:szCs w:val="18"/>
          <w:i w:val="1"/>
          <w:iCs w:val="1"/>
          <w:color w:val="auto"/>
        </w:rPr>
        <w:t xml:space="preserve"> </w:t>
      </w:r>
      <w:r>
        <w:rPr>
          <w:rFonts w:ascii="Arial" w:cs="Arial" w:eastAsia="Arial" w:hAnsi="Arial"/>
          <w:sz w:val="18"/>
          <w:szCs w:val="18"/>
          <w:color w:val="auto"/>
        </w:rPr>
        <w:t>Group LLC, a global merchant bank focused on technology, media, and communications. Prior to founding The Raine Group LLC, he served as Vice Chairman and Global Head of Technology, Media &amp; Telecom Investment Banking at UBS Investment Bank. Mr. Sine was a Managing Director at Morgan Stanley and an attorney at Sullivan &amp; Cromwell in New York and London. Mr. Sine currently serves on the boards of many portfolio companies and subsidiaries of The Raine Group. He also serves on the boards of National Public Radio, ITHAKA, Educational Testing Service, American University and The Manhattan Theatre Club.</w:t>
      </w:r>
    </w:p>
    <w:p>
      <w:pPr>
        <w:spacing w:after="0" w:line="192"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Mr. Sine was selected to serve on our Board of Directors due to his significant experience as a leader and director of multiple global companies with international operations as well as his capital markets and financial experience from his tenure at global financial institutions.</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 xml:space="preserve">Karen E. Dykstra </w:t>
      </w:r>
      <w:r>
        <w:rPr>
          <w:rFonts w:ascii="Arial" w:cs="Arial" w:eastAsia="Arial" w:hAnsi="Arial"/>
          <w:sz w:val="18"/>
          <w:szCs w:val="18"/>
          <w:color w:val="auto"/>
        </w:rPr>
        <w:t>has served as a Director of our Board of Directors since September 2022. Ms. Dykstra previously served as Chief Financial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Officer, and as Chief Financial Officer, of AOL, Inc., a web portal and online service provider. Prior to joining AOL, Inc., Ms. Dykstra was a Partner at Plainfield Asset Management LLC (“Plainfield”), where she served as Chief Operating Officer, Chief Financial Officer and a director of Plainfield Direct LLC, Plainfield’s business development company. Previously, she spent over 25 years with Automatic Data Processing, Inc., a provider of human capital management solutions to employers, serving most recently as Chief Financial Officer, and prior thereto as Vice President—Finance, Corporate Controller, and in other capacities. Ms. Dykstra is a director of VMware, Inc. and Gartner Inc., and former director of Crane Co., AOL, Inc. and Boston Properties, Inc.</w:t>
      </w:r>
    </w:p>
    <w:p>
      <w:pPr>
        <w:spacing w:after="0" w:line="19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Ms. Dykstra was selected to serve on our Board of Directors due to her broad executive management experience and financial expertise as the Chief Financial Officer of multiple global companies and her experience from serving on the board of directors of other companies in the technology industry.</w:t>
      </w:r>
    </w:p>
    <w:p>
      <w:pPr>
        <w:spacing w:after="0" w:line="184"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i w:val="1"/>
          <w:iCs w:val="1"/>
          <w:color w:val="auto"/>
        </w:rPr>
        <w:t xml:space="preserve">Anthony Michael Fadell </w:t>
      </w:r>
      <w:r>
        <w:rPr>
          <w:rFonts w:ascii="Arial" w:cs="Arial" w:eastAsia="Arial" w:hAnsi="Arial"/>
          <w:sz w:val="17"/>
          <w:szCs w:val="17"/>
          <w:color w:val="auto"/>
        </w:rPr>
        <w:t>has served as a Director of our Board of Directors since September 2022. Mr. Fadell is an active investor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entrepreneur with over 30 years of experience in founding companies and designing consumer products. He is the Principal at the Build Collective, an investment and advisory firm that invests in deep tech startups. Currently, the Build Collective is working with startups on over 200 innovative technologies. Mr. Fadell is the founder and former Chief Executive Officer of Nest, a major pioneer in the IoT space. He was Senior Vice President of Apple’s iPod division and led the team that created the first 18 generations of the iPod and the first three generations of the iPhone. Mr. Fadell also served as an Advisor to the Chief Executive Officer at Apple. Throughout his career, Mr. Fadell has authored more than 300 patents. He is also a New York Times bestselling author of </w:t>
      </w:r>
      <w:r>
        <w:rPr>
          <w:rFonts w:ascii="Arial" w:cs="Arial" w:eastAsia="Arial" w:hAnsi="Arial"/>
          <w:sz w:val="17"/>
          <w:szCs w:val="17"/>
          <w:i w:val="1"/>
          <w:iCs w:val="1"/>
          <w:color w:val="auto"/>
        </w:rPr>
        <w:t>BUILD: An Unorthodox Guide to Making Things Worth Making</w:t>
      </w:r>
      <w:r>
        <w:rPr>
          <w:rFonts w:ascii="Arial" w:cs="Arial" w:eastAsia="Arial" w:hAnsi="Arial"/>
          <w:sz w:val="17"/>
          <w:szCs w:val="17"/>
          <w:color w:val="auto"/>
        </w:rPr>
        <w:t>.</w:t>
      </w:r>
    </w:p>
    <w:p>
      <w:pPr>
        <w:spacing w:after="0" w:line="17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Mr. Fadell was selected to serve on our Board of Directors due to his extensive experience in a range of technology companies as well as his significant leadership experience, including serving as the founder and Chief Executive Officer of a leader in the IoT space, and his in-depth knowledge of the technology industry.</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Rosemary Schooler </w:t>
      </w:r>
      <w:r>
        <w:rPr>
          <w:rFonts w:ascii="Arial" w:cs="Arial" w:eastAsia="Arial" w:hAnsi="Arial"/>
          <w:sz w:val="18"/>
          <w:szCs w:val="18"/>
          <w:color w:val="auto"/>
        </w:rPr>
        <w:t>has served as a Director of our Board of Directors since December 2022. Ms. Schooler has over 30 years of experience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technology industry. She most recently served as Corporate Vice President and General Manager of Data Center and AI Sales for Intel Corporation. During her 33-year career at</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Intel, Ms. Schooler managed and oversaw sales and corporate strategy for the company’s IoT business. Ms. Schooler also held vice president and general manager positions at a number of Intel start-up initiatives in the embedded/IoT, networking and storage businesses, including architecture, product development and customer success efforts. In her networking role, Ms. Schooler led industry transforming initiatives, including Network Function Virtualization and technologies such as Data Plane Development Kit. Ms. Schooler has supported industry efforts, including ATIS and TIA, as well as non-profits, including the National Center for Women in Technology. She was previously a director for Cloudera and currently serves on the board of directors for Zurn Water Solutions. Ms. Schooler earned a B.S. in ceramic science and engineering from Penn State University.</w:t>
      </w:r>
    </w:p>
    <w:p>
      <w:pPr>
        <w:spacing w:after="0" w:line="16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Ms. Schooler was selected to serve on our Board of Directors due to her expansive knowledge of corporate strategy and strategic planning and vast experience as a leader in the technology industry.</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 xml:space="preserve">Paul E. Jacobs, PhD </w:t>
      </w:r>
      <w:r>
        <w:rPr>
          <w:rFonts w:ascii="Arial" w:cs="Arial" w:eastAsia="Arial" w:hAnsi="Arial"/>
          <w:sz w:val="17"/>
          <w:szCs w:val="17"/>
          <w:color w:val="auto"/>
        </w:rPr>
        <w:t>has served as a Director of our Board of Directors since December 2022. Dr. Jacobs is the chairman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XCOM Labs, which he founded in 2018 to develop high performance wireless technologies and applications. Prior to founding XCOM Labs, Dr. Jacobs served as the Chief Executive Officer and Executive Chairman of Qualcomm Inc., where he spearheaded the company’s efforts to develop and commercialize fundamental mobile technology breakthroughs that fueled the wireless internet and smartphone revolutions. Dr. Jacobs is a prolific inventor with over 80 U.S. patents granted or pending in the field of wireless technology and devices. Dr. Jacobs currently serves as a director of Dropbox, Inc. and For Inspiration and Recognition of Science and Technology. He earned a B.S. in Electrical Engineering and Computer Science, M.S. in Electrical Engineering, and Ph.D. in Electrical Engineering and Computer Science from the University of California, Berkeley. He founded the Jacobs Institute for Design Innovation at the University of California, Berkeley. Dr. Jacobs is a member of the National Academy of Engineering and a Fellow of the American Academy of Arts and Sciences.</w:t>
      </w:r>
    </w:p>
    <w:p>
      <w:pPr>
        <w:spacing w:after="0" w:line="18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Dr. Jacobs was selected to serve on our Board of Directors based on his experience as the leader and board member of multiple global companies, as well as his innovation and business experience with companies in, and his in-depth knowledge of, the technology sector.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i w:val="1"/>
          <w:iCs w:val="1"/>
          <w:color w:val="auto"/>
        </w:rPr>
        <w:t xml:space="preserve">Rene Haas </w:t>
      </w:r>
      <w:r>
        <w:rPr>
          <w:rFonts w:ascii="Arial" w:cs="Arial" w:eastAsia="Arial" w:hAnsi="Arial"/>
          <w:sz w:val="16"/>
          <w:szCs w:val="16"/>
          <w:color w:val="auto"/>
        </w:rPr>
        <w:t>has served as our Chief Executive Officer and a Director since February 2022. Prior to being appointed as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Mr. Haas served as President of our IP Product Groups (IPG) from January 2017. Under his leadership, Mr. Haas transformed IPG to focus on key solutions for vertical markets with a more diversified product portfolio and increased investment in our software ecosystem. In addition to his role as Chief Executive Officer, Mr. Haas also sits on the board of Arm China. Mr. Haas joined the Company in October 2013 as Vice President of Strategic Alliances and two years later was appointed to the Executive Committee and named Arm’s Chief Commercial Officer in charge of global sales and marketing. Before joining the Company, Mr. Haas held several applications management, applications engineering and product engineering roles, including seven years at NVIDIA as Vice President and General Manager of its computing products business. Prior to NVIDIA, Mr. Haas executive roles at Scintera Networks and Tensilica. Mr. Haas earned his Bachelor of Science in Electrical and Electronics Engineering from Clarkson University and is a graduate of the Stanford University Graduate School of Business Executive Education Program. Mr. Haas was selected to serve on our Board of Directors due to his knowledge of our business as our Chief Executive Officer and his extensive experience in the semiconductor industry.</w:t>
      </w:r>
    </w:p>
    <w:p>
      <w:pPr>
        <w:spacing w:after="0" w:line="16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 xml:space="preserve">Jason Child </w:t>
      </w:r>
      <w:r>
        <w:rPr>
          <w:rFonts w:ascii="Arial" w:cs="Arial" w:eastAsia="Arial" w:hAnsi="Arial"/>
          <w:sz w:val="18"/>
          <w:szCs w:val="18"/>
          <w:color w:val="auto"/>
        </w:rPr>
        <w:t>has served as our Executive Vice President and Chief Financial Officer since November 2022. Mr. Child’s career spans 30 years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all aspects of global finance and strategy, accounting, capital markets and treasury, initial public offering execution, and investor relations. He has extensive experience in scaling disruptive technologies within enterprise software and software-as-a-service industries, e-commerce, local commerce, consumer hardware and IoT, and online residential real estate. He most recently served as Senior Vice-President and Chief Financial Officer at Splunk, a technology company specializing in application</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management, security, and compliance, as well as business and web analytics. Mr. Child has also served as Chief Financial Officer for Groupon, Inc., a global e-commerce marketplace, Jawbone, a consumer technology and wearable device company, and Opendoor Technologies Inc, an online real estate company. Prior to those roles, he spent more than 11 years leading various global finance teams at Amazon and served as Chief Financial Officer of Amazon International. Mr. Child has served as a member of the board of directors of Coupang, Inc., an e-commerce company, since April 2022. He holds a B.A. from the Foster School of Business at the University of Washington, where he currently serves on its Global Advisory Board.</w:t>
      </w:r>
    </w:p>
    <w:p>
      <w:pPr>
        <w:spacing w:after="0" w:line="16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 xml:space="preserve">Kirsty Gill </w:t>
      </w:r>
      <w:r>
        <w:rPr>
          <w:rFonts w:ascii="Arial" w:cs="Arial" w:eastAsia="Arial" w:hAnsi="Arial"/>
          <w:sz w:val="18"/>
          <w:szCs w:val="18"/>
          <w:color w:val="auto"/>
        </w:rPr>
        <w:t>has served as our Executive Vice President and Chief People Officer since April 2018. Ms. Gill joined the Company in 2002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leadership roles in the People group, including executive compensation, reward, organizational effectiveness, and people services and systems. As Chief People Officer, she is responsible for managing our policies with respect to our employees, our workplace and the sustainability of our business practices. Ms. Gill delivers a unique, progressive, and human working environment, ensuring that our Core Beliefs are reflected in our policies and practices, allowing everyone to thrive and contribute to their full potential. Prior to joining the Company, Ms. Gill was Human Resources Director for a start-up company, GF-X, and started her human resources career at Accenture. Ms. Gill graduated from the University of Cambridge and is a board member of Cambridge Ahead.</w:t>
      </w:r>
    </w:p>
    <w:p>
      <w:pPr>
        <w:spacing w:after="0" w:line="19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 xml:space="preserve">Spencer Collins </w:t>
      </w:r>
      <w:r>
        <w:rPr>
          <w:rFonts w:ascii="Arial" w:cs="Arial" w:eastAsia="Arial" w:hAnsi="Arial"/>
          <w:sz w:val="17"/>
          <w:szCs w:val="17"/>
          <w:color w:val="auto"/>
        </w:rPr>
        <w:t>has served as our Executive Vice President and Chief Legal Officer since September 2022. Prior to his appointment,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General Counsel from February 2022. Mr. Collins has more than 20 years of industry experience and has served as lead counsel on many of the highest-profile M&amp;A and investment transactions in the technology sector. Prior to joining the Company, Mr. Collins was Managing Partner and General Counsel at SoftBank Investment Advisors, the investment manager of SoftBank Vision Fund. Mr. Collins has also served as a partner in the investment team at SoftBank Investment Advisors. Prior to joining SoftBank Investment Advisors, he practiced as a technology-focused M&amp;A and investment lawyer in the London offices of White &amp; Case and Allen &amp; Overy. Mr. Collins also spent time on secondment from Allen &amp; Overy to Fenwick &amp; West. Mr. Collins holds an LL.B. with first class honors.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Richard Grisenthwaite </w:t>
      </w:r>
      <w:r>
        <w:rPr>
          <w:rFonts w:ascii="Arial" w:cs="Arial" w:eastAsia="Arial" w:hAnsi="Arial"/>
          <w:sz w:val="16"/>
          <w:szCs w:val="16"/>
          <w:color w:val="auto"/>
        </w:rPr>
        <w:t>has served as our Executive Vice President and Chief Architect since March 2022. Mr. Grisenthwaite joined Arm in March</w:t>
      </w:r>
      <w:r>
        <w:rPr>
          <w:rFonts w:ascii="Arial" w:cs="Arial" w:eastAsia="Arial" w:hAnsi="Arial"/>
          <w:sz w:val="16"/>
          <w:szCs w:val="16"/>
          <w:i w:val="1"/>
          <w:iCs w:val="1"/>
          <w:color w:val="auto"/>
        </w:rPr>
        <w:t xml:space="preserve"> </w:t>
      </w:r>
      <w:r>
        <w:rPr>
          <w:rFonts w:ascii="Arial" w:cs="Arial" w:eastAsia="Arial" w:hAnsi="Arial"/>
          <w:sz w:val="16"/>
          <w:szCs w:val="16"/>
          <w:color w:val="auto"/>
        </w:rPr>
        <w:t>1997, and is responsible for the long-term evolution of our architecture, leading its development for more than 20 years, beginning with Armv6. He is currently leading development on Armv9 to ensure its specialized processing unlocks new markets and opportunities across the full spectrum of compute. Early in his tenure at the Company, Mr. Grisenthwaite worked on Arm720T, Arm940T, and Arm1136EJF-S. Prior to joining the Company, he worked for Analog Devices on fixed-function digital signal processors and at Inmos/ST on the Transputer. Mr. Grisenthwaite is an Arm fellow, has a B.A. in Electrical and Information Sciences from the University of Cambridge and holds 107 patents in the field of microprocessors.</w:t>
      </w:r>
    </w:p>
    <w:p>
      <w:pPr>
        <w:spacing w:after="0" w:line="16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 xml:space="preserve">Will Abbey </w:t>
      </w:r>
      <w:r>
        <w:rPr>
          <w:rFonts w:ascii="Arial" w:cs="Arial" w:eastAsia="Arial" w:hAnsi="Arial"/>
          <w:sz w:val="18"/>
          <w:szCs w:val="18"/>
          <w:color w:val="auto"/>
        </w:rPr>
        <w:t>has served as our Executive Vice President and Chief Commercial Officer since April 2023. Mr. Abbey joined the Company in 2004</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held a number of leadership roles, including Senior Vice President of Sales and Partner Enablement, General Manager of our Physical Design group and Vice President of Commercial Operations for the Physical IP Division. Now, as Executive Vice President and Chief Commercial Officer, Mr. Abbey leads sales, field engineering, and partner enablement at the Company, helping some of the world’s most innovative organizations leverage the newest technologies to ready themselves for the next wave of digital transformation. From IP to AI, his unique insight has helped the world’s technology leaders transform their products and operations. Before joining the Company, he worked in product management positions at Celoxica, Infineon Technologies, and Loughborough Sound Images. Mr. Abbey serves on the board of EnPro Industries and holds a BEng from Sheffield Hallam University, U.K.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 Exemption</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are a “foreign private issuer,” as defined by the SEC. As a result, in accordance with SEC and Nasdaq rules, we may, and intend to, rely on and comply with certain home country governance requirements and exemptions thereunder rather than complying with Nasdaq corporate governance standards. While we expect to voluntarily follow most Nasdaq corporate governance rules, we may choose to take advantage of certain exemptions, including, but not limited to, exemptions from:</w:t>
      </w:r>
    </w:p>
    <w:p>
      <w:pPr>
        <w:spacing w:after="0" w:line="92" w:lineRule="exact"/>
        <w:rPr>
          <w:sz w:val="20"/>
          <w:szCs w:val="20"/>
          <w:color w:val="auto"/>
        </w:rPr>
      </w:pPr>
    </w:p>
    <w:p>
      <w:pPr>
        <w:ind w:left="10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Nasdaq rules applicable to domestic issuers requiring disclosure within four business days of any determination to grant a waiver of the Code of Conduct to directors and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requirement to obtain shareholder approval for certain issuances of securities, including shareholder approval of share option plans;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requirement that our audit committee have review and oversight responsibilities over all “related party transactions,” as defined in Item 7.B of Form 20-F;</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requirement that our board have a remuneration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requirements that director nominees are selected, or recommended for selection by our board, either by (1) independent directors constituting a majority of our board’s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Furthermore, Nasdaq Rule 5615(a)(3) provides that a foreign private issuer may rely on home country corporate governance practices in lieu of certain of the rules in the Nasdaq Rule 5600 Series and Rule 5250(d), provided that we nevertheless comply with Nasdaq’s Notification of Noncompliance requirement (Rule 5625), the Voting Rights requirement (Rule 5640), the Diverse Board Representation Rule (Rule 5605(f)), the Board Diversity Disclosure Rule (Rule 5606) and that we have an audit committee that satisfies Rule 5605(c)(3), consisting of committee members that meet the independence requirements of Rule 5605(c)(2)(A)(ii). Although we are permitted to follow certain corporate governance rules that conform to U.K. requirements in lieu of many of the Nasdaq corporate governance rules, we intend to comply with the Nasdaq corporate governance rules.</w:t>
      </w:r>
    </w:p>
    <w:p>
      <w:pPr>
        <w:spacing w:after="0" w:line="16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SoftBank and SoftBank Vision Fund are expected to beneficially own approximately % and %, respectively, of our outstanding ordinary shares upon the completion of this offering, or % and %, respectively, of our outstanding ordinary shares if the underwriters exercise their option to purchase additional ADSs from the selling shareholders in full. As a result of SoftBank’s ownership, after the completion of this offering, we will be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As a controlled company, certain exemptions under the rules will mean that we are not required to comply with certain corporate governance requirements, including that (1) a majority of our Board of Directors consists of independent directors, as defined under Nasdaq listing rules, (2) we have a nominating and corporate governance committee that consists entirely of independent directors, and (3) we have a remuneration committee that consists entirely of independent directors. We may, and intend to, take advantage of certain of these exemptions. Accordingly, you will not have the same protections afforded to shareholders of companies that are subject to all of these corporate governance requirements. In the event that we cease to be a “controlled</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company” and our ADSs continue to be listed on Nasdaq, we will be required to comply with these provisions within the applicable transition periods. See “Risk Factors—Risks Relating to Our Status as a Controlled Company and Foreign Private Issuer—We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currently consists of eight members, all of whom will continue to serve on our Board of Directors upon the completion of this offering. Mr. Son serves as the Chair of our Board of Directors. Our Board of Directors has affirmatively determined that none of Ms. Dykstra, Mr. Fadell, Ms. Schooler and Dr. Jacobs have a relationship that would interfere with the exercise of independent judgment in carrying out the responsibilities of director and that each of these directors is “independent” as that term is defined under Nasdaq rules.</w:t>
      </w:r>
    </w:p>
    <w:p>
      <w:pPr>
        <w:spacing w:after="0" w:line="18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Six of our eight current directors were appointed in 2022 in anticipation of becoming a public company. Prior to the appointment of these new directors, we undertook a fulsome review of the composition of our Board of Directors and the skills and qualifications necessary to lead our company going forward. Our Board of Directors considered diversity of experience and expertise as well as gender, racial and ethnic diversity. We believe that the diversity of view points and collective experience of our directors makes our Board of Directors well positioned to lead Arm into the future.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Our Board of Directors does not have a standing nominating committee. Following the completion of this offering, our entire Board of Directors will be responsible for selecting or approving director nominees. We believe that our Board of Directors can satisfactorily carry out the responsibility of properly selecting or approving director nominees without the formation of a standing nominating committee. We have not formally established any specific, minimum qualifications that must be met or skills that are necessary for directors to possess. In general, in identifying and evaluating nominees for director, our Board of Directors may consider, among other factors, personal and professional integrity, ethics and values, experience in corporate management (such as serving as an officer or former officer of a publicly-held company), experience as a board member of another publicly-held company, professional and academic experience relevant to our industry, diversity of professional experience, experience in finance and accounting and/or executive remuneration practices, strength of leadership skills, ability to devote the time required for preparation, participation and attendance at Board of Directors meetings and committee meetings, professional reputation and independence and conflicts of interest. While we have no formal policy regarding board diversity for our Board of Directors, in addition to the previous factors, our Board of Directors will consider the background, gender, age, race and ethnicity, as well as other individual attributes that contribute to the total diversity of viewpoints and experience represented on the Board of Directors when identifying and evaluating nominees for director. Our Board of Directors will evaluate each individual in the context of the Board of Directors as a whole, with the objective of ensuring that the Board of Directors, as a whole, has the necessary tools to perform its oversight function effectively in light of our business and structure.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2023, our Board of Directors has two standing committees: an audit committee and a remuneration committee.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is responsible for, among other things:</w:t>
      </w:r>
    </w:p>
    <w:p>
      <w:pPr>
        <w:spacing w:after="0" w:line="76"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helping to maintain and foster an open avenue of communication between management and the independent registered public accounting firm;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our policies and practices on risk assessment and risk management, including in respect of cyber security, data privacy and technology and information security;</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to be performed by the independent registered public accounting firm.</w:t>
      </w:r>
    </w:p>
    <w:p>
      <w:pPr>
        <w:spacing w:after="0" w:line="170" w:lineRule="exact"/>
        <w:rPr>
          <w:sz w:val="20"/>
          <w:szCs w:val="20"/>
          <w:color w:val="auto"/>
        </w:rPr>
      </w:pPr>
    </w:p>
    <w:p>
      <w:pPr>
        <w:ind w:left="120" w:right="300" w:firstLine="440"/>
        <w:spacing w:after="0" w:line="258" w:lineRule="auto"/>
        <w:rPr>
          <w:sz w:val="20"/>
          <w:szCs w:val="20"/>
          <w:color w:val="auto"/>
        </w:rPr>
      </w:pPr>
      <w:r>
        <w:rPr>
          <w:rFonts w:ascii="Arial" w:cs="Arial" w:eastAsia="Arial" w:hAnsi="Arial"/>
          <w:sz w:val="18"/>
          <w:szCs w:val="18"/>
          <w:color w:val="auto"/>
        </w:rPr>
        <w:t>Our audit committee consists of , and , with serving as chair. Our Board of Directors has affirmatively determined that , and meet the requirements for independence under current Nasdaq rules and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independence standards applicable to audit committee members established pursuant to Rule 10A-3 of the Exchange Act. In addition, our</w:t>
      </w:r>
    </w:p>
    <w:p>
      <w:pPr>
        <w:spacing w:after="0" w:line="32"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Board of Directors has determined that will qualify as an “audit committee financial expert” as defined by applicable SEC rules. Each member of our audit committee is financially literate.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remuneration committee oversees our remuneration policies, plans and benefits programs. Our remuneration committee is responsible for, among other things:</w:t>
      </w:r>
    </w:p>
    <w:p>
      <w:pPr>
        <w:spacing w:after="0" w:line="76"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related to our remuneration plans and equity-based plans;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concerning the overall remuneration philosophy, policies and plans of the Company;</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the performance goals and objectives relevant to the remuneration of our Chief Executive Officer;</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evaluating and making recommendations to our Board of Directors regarding the performance of our Chief Executive Officer under the previously established performance criteria, goals and objectives, and evaluating and making recommendations to our Board of Directors regarding total remuneration for our Chief Executive Officer;</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20"/>
          </w:cols>
          <w:pgMar w:left="320" w:top="459" w:right="5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regarding the remuneration to be paid to our non-executive directors;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selecting and retaining a remuneration consultant;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the remuneration committee by our Board of Directors from time to time.</w:t>
      </w:r>
    </w:p>
    <w:p>
      <w:pPr>
        <w:spacing w:after="0" w:line="225" w:lineRule="exact"/>
        <w:rPr>
          <w:sz w:val="20"/>
          <w:szCs w:val="20"/>
          <w:color w:val="auto"/>
        </w:rPr>
      </w:pPr>
    </w:p>
    <w:p>
      <w:pPr>
        <w:ind w:left="560"/>
        <w:spacing w:after="0"/>
        <w:tabs>
          <w:tab w:leader="none" w:pos="4340" w:val="left"/>
          <w:tab w:leader="none" w:pos="5320" w:val="left"/>
          <w:tab w:leader="none" w:pos="6480" w:val="left"/>
          <w:tab w:leader="none" w:pos="7840" w:val="left"/>
        </w:tabs>
        <w:rPr>
          <w:sz w:val="20"/>
          <w:szCs w:val="20"/>
          <w:color w:val="auto"/>
        </w:rPr>
      </w:pPr>
      <w:r>
        <w:rPr>
          <w:rFonts w:ascii="Arial" w:cs="Arial" w:eastAsia="Arial" w:hAnsi="Arial"/>
          <w:sz w:val="18"/>
          <w:szCs w:val="18"/>
          <w:color w:val="auto"/>
        </w:rPr>
        <w:t>Our remuneration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5"/>
          <w:szCs w:val="15"/>
          <w:color w:val="auto"/>
        </w:rPr>
        <w:t>serving as chair.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maintain a Code of Conduct applicable to our and our subsidiaries’ employees, independent contractors, senior management and directors, including our principal executive officer, principal financial officer, principal accounting officer or controller, or persons performing similar functions. Our Board of Directors will monitor compliance with our Code of Conduct, including reviewing the adequacy and effectiveness of our procedures to ensure proper compliance. Following the effectiveness of the registration statement of which this prospectus is a part, a current copy of the Code of Conduct will be posted on the Investor Relations section of our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of 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fiscal year ended March 31, 2023, the aggregate remuneration paid to the members of our Board of Directors and our executive officers</w:t>
      </w:r>
    </w:p>
    <w:p>
      <w:pPr>
        <w:spacing w:after="0" w:line="46" w:lineRule="exact"/>
        <w:rPr>
          <w:sz w:val="20"/>
          <w:szCs w:val="20"/>
          <w:color w:val="auto"/>
        </w:rPr>
      </w:pPr>
    </w:p>
    <w:p>
      <w:pPr>
        <w:ind w:left="120" w:right="60"/>
        <w:spacing w:after="0" w:line="290" w:lineRule="auto"/>
        <w:rPr>
          <w:sz w:val="20"/>
          <w:szCs w:val="20"/>
          <w:color w:val="auto"/>
        </w:rPr>
      </w:pPr>
      <w:r>
        <w:rPr>
          <w:rFonts w:ascii="Arial" w:cs="Arial" w:eastAsia="Arial" w:hAnsi="Arial"/>
          <w:sz w:val="17"/>
          <w:szCs w:val="17"/>
          <w:color w:val="auto"/>
        </w:rPr>
        <w:t>for services in all capacities, including retirement and similar benefits, was $ . Of that aggregate amount, $ was related to remuneration paid to the members of our Board of Directors. For the fiscal year ended March 31, 2023, the highest paid director received remuneration of $ .</w:t>
      </w:r>
    </w:p>
    <w:p>
      <w:pPr>
        <w:spacing w:after="0" w:line="161"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We maintain performance-based bonus arrangements with our executives pursuant to the terms of their employment agreements (or otherwise pursuant to our discretionary annual bonus arrangements). The remuneration amounts above do not include bonus amounts in respect of the fiscal year ended March 31, 2023, as such bonus outcomes have not yet been determined. Assuming on-target performance, the aggregate amount payable to</w:t>
      </w:r>
    </w:p>
    <w:p>
      <w:pPr>
        <w:spacing w:after="0" w:line="2"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members of our Board of Directors and our executive officers will be $ , of which $ will be payable to our highest paid director. We do not set aside or accrue any amounts to provide pension, retirement or similar benefits to members of our Board of Directors or executive officers, although we</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made defined contribution pension contributions on behalf of our directors and executive officers in an aggregate amount of $ during the fiscal year ended March 31, 2023.</w:t>
      </w:r>
    </w:p>
    <w:p>
      <w:pPr>
        <w:spacing w:after="0" w:line="185" w:lineRule="exact"/>
        <w:rPr>
          <w:sz w:val="20"/>
          <w:szCs w:val="20"/>
          <w:color w:val="auto"/>
        </w:rPr>
      </w:pPr>
    </w:p>
    <w:p>
      <w:pPr>
        <w:ind w:left="840" w:right="340" w:hanging="278"/>
        <w:spacing w:after="0" w:line="291" w:lineRule="auto"/>
        <w:rPr>
          <w:sz w:val="20"/>
          <w:szCs w:val="20"/>
          <w:color w:val="auto"/>
        </w:rPr>
      </w:pPr>
      <w:r>
        <w:rPr>
          <w:rFonts w:ascii="Arial" w:cs="Arial" w:eastAsia="Arial" w:hAnsi="Arial"/>
          <w:sz w:val="16"/>
          <w:szCs w:val="16"/>
          <w:color w:val="auto"/>
        </w:rPr>
        <w:t>During the year fiscal ended March 31, 2023, pursuant to our equity incentive plans described under “—Equity Incentive Plans,” we granted RSU awards, which may be settled in ordinary shares or cash, and conditional rights to receive a specified amount of cash or our ordinary</w:t>
      </w:r>
    </w:p>
    <w:p>
      <w:pPr>
        <w:ind w:left="120" w:right="20"/>
        <w:spacing w:after="0" w:line="260" w:lineRule="auto"/>
        <w:rPr>
          <w:sz w:val="20"/>
          <w:szCs w:val="20"/>
          <w:color w:val="auto"/>
        </w:rPr>
      </w:pPr>
      <w:r>
        <w:rPr>
          <w:rFonts w:ascii="Arial" w:cs="Arial" w:eastAsia="Arial" w:hAnsi="Arial"/>
          <w:sz w:val="18"/>
          <w:szCs w:val="18"/>
          <w:color w:val="auto"/>
        </w:rPr>
        <w:t>shares, which we refer to as “Executive Awards, ” in the aggregate amount of $ to our executive officers. For the fiscal year ended March 31, 2023, our highest paid director received RSUs and an Executive Award in the amount of $ .</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Employment Arrangements and Director Appointment Letters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Officer Employment Agreements</w:t>
      </w:r>
    </w:p>
    <w:p>
      <w:pPr>
        <w:spacing w:after="0" w:line="117" w:lineRule="exact"/>
        <w:rPr>
          <w:sz w:val="20"/>
          <w:szCs w:val="20"/>
          <w:color w:val="auto"/>
        </w:rPr>
      </w:pPr>
    </w:p>
    <w:p>
      <w:pPr>
        <w:jc w:val="both"/>
        <w:ind w:left="120" w:right="460" w:firstLine="440"/>
        <w:spacing w:after="0" w:line="311" w:lineRule="auto"/>
        <w:rPr>
          <w:sz w:val="20"/>
          <w:szCs w:val="20"/>
          <w:color w:val="auto"/>
        </w:rPr>
      </w:pPr>
      <w:r>
        <w:rPr>
          <w:rFonts w:ascii="Arial" w:cs="Arial" w:eastAsia="Arial" w:hAnsi="Arial"/>
          <w:sz w:val="16"/>
          <w:szCs w:val="16"/>
          <w:color w:val="auto"/>
        </w:rPr>
        <w:t>We have entered into offer letters or employment agreements with our executive officers. Each of our executive officers is employed for an indefinite term unless either we or the executive officer gives prior notice to terminate such employment. We may terminate an executive officer’s employment for cause, at any time, without advance notice or severance (except for accrued remuneration or where required by applicable law).</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Cause includes, for example, where the executive officer has committed gross misconduct or negligence. We may terminate an executive officer’s employment, for a fair reason and following a fair process, by providing prior written notice varying between 30 days and 12 months depending on the terms of the executive’s agreement or at any time for some executives based in the U.S. In such case of termination by us, we will provide severance payments to the executive officer as expressly required by the applicable law of the jurisdiction where the executive officer is based or per the terms contained in their individual agreement, if any. Two U.S. executives are entitled to receive severance if they resign for good reason, their employment is terminated due to death or permanent disability, or if there is a change in control event, as set out in their individual agreements. Good reason includes, for example, a significant diminution in authorities, duties or responsibilities, or a material reduction of the executive’s salary. To resign for good reason, the executive must provide sixty days of notice and a reasonable cure period. An executive officer may terminate their employment at any time with prior written notice, if required, as set out in their individual employment agreement.</w:t>
      </w:r>
    </w:p>
    <w:p>
      <w:pPr>
        <w:spacing w:after="0" w:line="18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Each executive officer has agreed to hold, both during and after the employment agreement is terminated, in strict confidence and not to use, except for our benefit, any confidential information of our company or affiliates or of our customers, suppliers and other business partners. The executive officers have also agreed to disclose to us all inventions, designs and any other IP which they develop during their employment with us and to assist us in obtaining and enforcing patent, copyright and other legal rights for such inventions, designs, and IP. In addition, each of our executive officers has agreed to be bound by post-termination covenants in order to protect our business interests, including restrictions on soliciting our customers and our employees. Two U.S. executives have post-termination non-compete provisions that equal or exceed the duration of their severance benefits.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Non-Executive Director Appointment Letters Prior to the Consummation of this Offering</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entered into letters of appointment with each of our non-executive directors, except for Messrs. Son and Fisher. These letters set forth the terms on which each of our non-executive directors serve on our Board of Directors. Under the letters of appointment, our non-executive directors are entitled to receive (i) remuneration for their services as non-executive directors in accordance with the non-executive director remuneration policy described below and (ii) reimbursement for expenses incurred in connection with the performance of their duties as directors. Continued appointment under the letters is contingent on continued satisfactory performance, re-nomination by the independent directors and approval of the Board of Directors, re-election by the shareholders and any relevant statutory provisions and provisions of the Articles relating to removal of a director. Prior to the consummation of this offering, these appointment letters were terminated in connection with our corporate reorganization.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Non-Executive Director Remuneration Policy</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Upon completion of this offering, our Board of Directors intends to implement a new non-executive director remuneration policy applicable to each of our non-executive directors other than Messrs. Son and Fisher. Under such policy, our non-executive directors will receive an annual retainer of $80,000 in cash and $220,000 in equity awards under our Omnibus Incentive Plan (as defined below). In addition, our non-executive directors, other than Messrs. Son and Fisher, will receive a fee of $5,000 per meeting of the Board of Directors. Members of the audit committee and the remuneration committee will receive $15,000 and $10,000, respectively, in cash annually. The chairs of the audit committee and remuneration committee will receive $30,000 and $20,000, respectively, in cash annually. Non-executive directors do not receive benefits upon removal or resignation from their respective position as directors. We also will reimburse non-executive directors for expenses properly incurred in connection with the performance of his or her duties as a director, including, but not limited to, reasonable travel expenses.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have granted equity-based awards to our executive officers and non-executive directors under: (1) the 2022 RSU Plan, (2) the NED Plan, (3) the 2019 AEP and (4) the 2019 EIP (collectively, the “Prior Plans”). As of</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226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73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Confidential Treatment Requested by Arm Holdings Limited</w:t>
            </w:r>
          </w:p>
        </w:tc>
        <w:tc>
          <w:tcPr>
            <w:tcW w:w="22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732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Pursuant to 17 C.F.R. Section 200.83</w:t>
            </w:r>
          </w:p>
        </w:tc>
        <w:tc>
          <w:tcPr>
            <w:tcW w:w="2260" w:type="dxa"/>
            <w:vAlign w:val="bottom"/>
          </w:tcPr>
          <w:p>
            <w:pPr>
              <w:spacing w:after="0"/>
              <w:rPr>
                <w:sz w:val="20"/>
                <w:szCs w:val="20"/>
                <w:color w:val="auto"/>
              </w:rPr>
            </w:pPr>
          </w:p>
        </w:tc>
      </w:tr>
      <w:tr>
        <w:trPr>
          <w:trHeight w:val="364"/>
        </w:trPr>
        <w:tc>
          <w:tcPr>
            <w:tcW w:w="8680" w:type="dxa"/>
            <w:vAlign w:val="bottom"/>
            <w:gridSpan w:val="2"/>
          </w:tcPr>
          <w:p>
            <w:pPr>
              <w:ind w:left="660"/>
              <w:spacing w:after="0"/>
              <w:rPr>
                <w:sz w:val="20"/>
                <w:szCs w:val="20"/>
                <w:color w:val="auto"/>
              </w:rPr>
            </w:pPr>
            <w:r>
              <w:rPr>
                <w:rFonts w:ascii="Arial" w:cs="Arial" w:eastAsia="Arial" w:hAnsi="Arial"/>
                <w:sz w:val="18"/>
                <w:szCs w:val="18"/>
                <w:color w:val="auto"/>
                <w:w w:val="95"/>
              </w:rPr>
              <w:t>, 2023, the total number of ordinary shares subject to outstanding awards granted under the Prior Plans is</w:t>
            </w:r>
          </w:p>
        </w:tc>
        <w:tc>
          <w:tcPr>
            <w:tcW w:w="2260" w:type="dxa"/>
            <w:vAlign w:val="bottom"/>
          </w:tcPr>
          <w:p>
            <w:pPr>
              <w:ind w:left="480"/>
              <w:spacing w:after="0"/>
              <w:rPr>
                <w:sz w:val="20"/>
                <w:szCs w:val="20"/>
                <w:color w:val="auto"/>
              </w:rPr>
            </w:pPr>
            <w:r>
              <w:rPr>
                <w:rFonts w:ascii="Arial" w:cs="Arial" w:eastAsia="Arial" w:hAnsi="Arial"/>
                <w:sz w:val="18"/>
                <w:szCs w:val="18"/>
                <w:color w:val="auto"/>
                <w:w w:val="89"/>
              </w:rPr>
              <w:t>. We do not plan to grant</w:t>
            </w:r>
          </w:p>
        </w:tc>
      </w:tr>
    </w:tbl>
    <w:p>
      <w:pPr>
        <w:ind w:left="120" w:right="2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awards under the Prior Plans following the completion of this offering. Instead, equity-based awards granted at or after the completion of this offering will be under our new omnibus incentive plan. The principal features of the four previously-adopted plans that pertain to outstanding awards held by our executive officers and non-executive directors, and the principal features of our 2023 Omnibus Incentive Plan (the “Omnibus Incentive Plan”), are summarized below. These summaries are qualified in their entirety by reference to the actual text of the applicable plan, each of which is filed as an exhibit to the registration statement of which this prospectus is a part.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RSU Plan</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2022 RSU Plan was adopted on June 13, 2022 and amended and restated on September 6, 2022. The 2022 RSU Plan allows for the grant of awards to our (and our subsidiaries’) employees and executive directors. The principal features of the 2022 RSU Plan are summarized below.</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2022 RSU Plan is administered by our Remuneration Committee. The Remuneration Committee has the authority to construe and interpret the rules of the 2022 RSU Plan, including any sub-plans or appendices to the 2022 RSU Plan and the terms of awards granted under the 2022 RSU Plan, and to make all other determinations and take all actions deemed necessary or advisable for administering the 2022 RSU Plan.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2022 RSU Plan provides for the grant of RSUs, phantom awards, which are similar to RSUs, except that they may only be settled in cash, and other awards. Only Executive Awards, which are conditional rights to receive a specified amount of cash or our shares, have been awarded to our executive officers under the 2022 RSU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The aggregate nominal amount of shares over which the Remuneration Committee may grant awards under the 2022 RSU Plan and the NED Plan will be limited so that it does not exceed at any time an amount equal to (x) four percent of the aggregate nominal amount of our fully diluted equity share capital </w:t>
      </w:r>
      <w:r>
        <w:rPr>
          <w:rFonts w:ascii="Arial" w:cs="Arial" w:eastAsia="Arial" w:hAnsi="Arial"/>
          <w:sz w:val="17"/>
          <w:szCs w:val="17"/>
          <w:i w:val="1"/>
          <w:iCs w:val="1"/>
          <w:color w:val="auto"/>
        </w:rPr>
        <w:t>less</w:t>
      </w:r>
      <w:r>
        <w:rPr>
          <w:rFonts w:ascii="Arial" w:cs="Arial" w:eastAsia="Arial" w:hAnsi="Arial"/>
          <w:sz w:val="17"/>
          <w:szCs w:val="17"/>
          <w:color w:val="auto"/>
        </w:rPr>
        <w:t xml:space="preserve"> (y) the aggregate of the nominal amount of shares allocated in respect of awards granted under the rules of the 2022 RSU Plan and awards granted under the rules of the NED Plan (excluding any shares allocated in respect of lapsed awards under the 2022 RSU Plan and the NED Plan). Shares that are delivered to recipients upon the vesting of an award under the 2022 RSU Plan may be satisfied through the issue of new ordinary shares or the transfer (including out of treasury) of shares.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Term</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 awards may be granted under the 2022 RSU Plan after the earlier of (i) the tenth anniversary of the date of the adoption of the 2022 RSU Plan, and (ii) the completion of our initial public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Key Terms of Executive Awards Granted to our Executive Officers under the 2022 RSU Plan</w:t>
      </w:r>
    </w:p>
    <w:p>
      <w:pPr>
        <w:spacing w:after="0" w:line="11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The Executive Awards granted to our executive officers under the 2022 RSU Plan entitle the executive officer to a fixed amount of cash or, after our initial public offering, our ordinary shares. We have generally granted two types of Executive Awards under the 2022 RSU Plan, which we refer to as Annual Awards and One-time Launch Awards. On limited occasions, we have also granted Executive Awards with customized</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45" w:right="4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vesting schedules to certain of our executive officers. Annual Awards and One-time Launch Awards could be settled differently depending on whether vesting occurs before or after our initial public offering. The Annual Award typically consists of a portion that is subject only to a time-based vesting schedule and a portion that is subject to a performance-based and time-based vesting schedule. The time-based portion of the Annual Award vests on an annual basis over three years. The performance-based portion vests on an annual basis over three years, with each year’s vesting amount being within a range of 0% to 200% of the award value based on whether our EBITDA and/or revenue of the relevant financial year satisfies the relevant targets. The One-Time Launch Awards vest on an annual basis over three years, with no performance-based vesting conditions. We have also granted Executive Awards with terms that differ from those described above. Generally, these awards provide for all or a portion of the award to vest upon the earliest to occur of our initial public offering, a change in control event and a specified future date, subject to continued employment through the applicable vesting date.</w:t>
      </w:r>
    </w:p>
    <w:p>
      <w:pPr>
        <w:spacing w:after="0" w:line="19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Before our initial public offering, any portion of the Executive Awards that vest will be settled in cash. Upon and after our initial public offering, any portion of the Executive Awards that vest will be satisfied in our shares based on the closing price per ADS on the date of our initial public offering, subject to the right of the Remuneration Committee to satisfy all or part of any such vested portion in cash. Alternatively, the Remuneration Committee may satisfy all or part of an RSU by transfer or issue of ADSs instead of our ordinary shares. As with the RSU awards, upon a change of control event, which generally includes the acquisition of more than 50% of the voting power of our shares or the sale of all or substantially all of our assets, a pro rata portion of the unvested Executive Awards will vest.</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Generally, unvested awards granted under the 2022 RSU Plan will lapse on the date the executive officer ceases to be an eligible employee or executive director for any reason whatsoever under the 2022 RSU Plan (including, </w:t>
      </w:r>
      <w:r>
        <w:rPr>
          <w:rFonts w:ascii="Arial" w:cs="Arial" w:eastAsia="Arial" w:hAnsi="Arial"/>
          <w:sz w:val="18"/>
          <w:szCs w:val="18"/>
          <w:i w:val="1"/>
          <w:iCs w:val="1"/>
          <w:color w:val="auto"/>
        </w:rPr>
        <w:t>e.g.</w:t>
      </w:r>
      <w:r>
        <w:rPr>
          <w:rFonts w:ascii="Arial" w:cs="Arial" w:eastAsia="Arial" w:hAnsi="Arial"/>
          <w:sz w:val="18"/>
          <w:szCs w:val="18"/>
          <w:color w:val="auto"/>
        </w:rPr>
        <w:t>, when such executive officer gives or receives notice of termination in relation to his or her employment or service as an executive director), except that if the cessation to be an eligible employee or executive director in question is due to ill-health, injury, disability or death, the Remuneration Committee may vest all or a portion of that participant’s awards. The executive officer will not be treated as ceasing to be an eligible employee or executive director for these purposes upon leaving the employment of a member of our group if, within the following seven days, he or she recommences employment with another member of our group. The awards will also terminate if the Remuneration Committee determines that part or all of any such unvested awards should lapse in accordance with any malus or clawback policy adopted from time to time.</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Before the record date on which such shares are actually issued or transferred, a participant is not entitled to any voting, dividend or other rights attaching to such shares. After such record date of the issue or transfer of such shares, the shares held by a participant will rank equally in all respects to our other ordinary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Clawback</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All awards granted under the 2022 RSU Plan are subject to recoupment under any clawback policy that we are required to adopt pursuant to the listing standards of any national securities exchange or association on which our securities are listed or as is otherwise required by applicable laws. At this time, we have not adopted a policy regarding the recovery of certain incentive-based remuneration awarded to current and former executive officers in the event of an accounting restatement. In 2023, we intend to adopt a malus and clawback policy consistent with Rule 10D-1 of the Exchange Act, which requires U.S. national securities exchanges to adopt listing standards for the recovery of erroneously awarded remuneration.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the event of a variation of our equity share capital, a demerger or exempt distribution by virtue of section 1075 of the UK Corporation Tax Act 2010 or a special dividend or distribution, the Remuneration Committee (acting unanimously) may adjust the number and/or class of shares comprised in an award as it considers appropriate.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w:t>
      </w:r>
    </w:p>
    <w:p>
      <w:pPr>
        <w:spacing w:after="0" w:line="117" w:lineRule="exact"/>
        <w:rPr>
          <w:sz w:val="20"/>
          <w:szCs w:val="20"/>
          <w:color w:val="auto"/>
        </w:rPr>
      </w:pPr>
    </w:p>
    <w:p>
      <w:pPr>
        <w:ind w:left="120" w:right="440" w:firstLine="440"/>
        <w:spacing w:after="0" w:line="301" w:lineRule="auto"/>
        <w:rPr>
          <w:sz w:val="20"/>
          <w:szCs w:val="20"/>
          <w:color w:val="auto"/>
        </w:rPr>
      </w:pPr>
      <w:r>
        <w:rPr>
          <w:rFonts w:ascii="Arial" w:cs="Arial" w:eastAsia="Arial" w:hAnsi="Arial"/>
          <w:sz w:val="16"/>
          <w:szCs w:val="16"/>
          <w:color w:val="auto"/>
        </w:rPr>
        <w:t>The Remuneration Committee may amend the 2022 RSU Plan at any time; however, any amendment which would materially disadvantage participants may not be made without prior consent of the majority (assessed by reference to the size of the affected awards) of disadvantaged participants who respond to the request made by the Remuneration Committee to approve such amendment. The Remuneration Committee has the absolute discretion to determine which participants are materially disadvantaged by a proposed amendment.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 and Participant Payments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 participant may not transfer, assign or otherwise dispose of an award or any rights in respect of it. If he or she does, whether voluntarily or involuntarily, then the award immediately lapses. No payment is required from a participant for the grant of an award.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Arm Non-Executive Directors RSU Award Plan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NED Plan was adopted on September 6, 2022 and allows for the grant of RSUs to our non-executive directors. The principal features of the NED Plan and awards granted to our non-executive directors are substantially the same as the terms of the 2022 RSU Plan, except that only non-executive directors are eligible to receive awards and the only awards granted to our non-executive directors have been RSUs, which generally have provided for vesting to occur over a one-year period. The NED Plan is administered by our Remuneration Committee. The aggregate number of shares over which the Remuneration Committee may grant awards under the 2022 RSU Plan and the NED Plan is four percent of the aggregate nominal amount of our fully diluted equity share capital (excluding any shares allocated in respect of lapsed awards under the 2022 RSU Plan and the NED Plan). No awards may be granted under the NED Plan after the earlier of (i) the tenth anniversary of the date of the adoption of the NED Plan, and (ii) our initial public offering.</w:t>
      </w:r>
    </w:p>
    <w:p>
      <w:pPr>
        <w:spacing w:after="0" w:line="19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RSUs are awards that entitle the holder to a specified number of our ordinary shares, subject to satisfaction of vesting and other conditions. The RSUs granted to our non-executive directors vest in March of the year following the year of grant on the basis of the continued service of the director. The number of RSUs awarded to our non-executive directors for the fiscal year ended March 31, 2023 was determined by dividing $220,000 by an estimated per share value, with the award pro-rated for non-executive directors on the board for less than the full year. In addition, a pro-rata portion of the non-executive directors’ RSUs vest upon the occurrence of a change of control event. In each case, once vested, the RSUs are capable of being settled in shares or cash (or a mix of both), as determined by the Remuneration Committee. Alternatively, the Remuneration Committee may satisfy all or part of an RSU by transfer or issue of ADSs instead of our ordinary shares.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Arm Limited All-Employee Plan 2019</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2019 AEP was adopted by our shareholders on December 8, 2019 and amended and restated on each of May 18, 2021 and June 13, 2022, and allows for the grant of awards to our employees and executive directors. The material terms of the 2019 AEP are summarized below.</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The 2019 AEP is administered by our Remuneration Committee. The Remuneration Committee has the authority to construe and interpret the rules of the 2019 AEP, including any sub-plans or appendices to the 2019 AEP and the terms of awards granted under the 2019 AEP, and to make all other determinations and take all actions deemed necessary or advisable for administering the 2019 AEP.</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aggregate nominal amount of shares over which the Remuneration Committee may grant awards under the 2019 AEP will be limited so that it does not exceed at any time an amount equal to (x) 2.2 percent of the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aggregate nominal amount of our fully diluted equity share capital less (y) the aggregate of the nominal amount of shares allocated in respect of awards granted under the rules of the 2019 AEP (excluding any shares allocated in respect of lapsed awards under the 2019 AEP).</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2019 AEP provides for the grant of RSUs and phantom shares. As of the date of this prospectus, our executive officers have only been granted RSUs pursuant to the 2019 AEP.</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Key Terms of RSUs Granted to our Executive Officers under the 2019 AEP</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RSUs granted to our executive officers under the 2019 AEP generally vest on a linear scale on the earliest to occur of (1) six months following our initial public offering with a listing value between $32 billion and $55 billion and above (with none of the awards vesting when the value is $32 billion or less and all awards vesting when the value is $55 billion or above), (2) the acquisition of more than 50 percent of the voting power of our shares, or sale of the Company or other change in control event with an implied value between $32 billion and $55 billion and above (with none of the awards vesting when the value is $32 billion or less and all awards vesting when the value is $55 billion or above), and (3) March 9, 2026 if the value of our fully diluted share capital on such date is between $55 billion and $75 billion and above (with none of the awards vesting when the value is $55 billion or less and all awards vesting when the value is $75 billion or above).</w:t>
      </w:r>
    </w:p>
    <w:p>
      <w:pPr>
        <w:spacing w:after="0" w:line="19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there is a change of control event following our initial public offering but before the vesting date which is six months after the initial public offering, then the awards shall be capable of vesting only on the occurrence of such change of control event, and not the initial public offering, and for the purposes of calculating to what extent (if at all) a participant’s award vests, the Remuneration Committee must determine the extent to which the relevant vesting hurdle is met or exceeded on both: (i) the initial public offering and (ii) the relevant change of control event, and subject to certain exceptions, use whichever of the two measurements is more favorable to the participant.</w:t>
      </w:r>
    </w:p>
    <w:p>
      <w:pPr>
        <w:spacing w:after="0" w:line="1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Other terms applicable to the RSUs awarded to our executive officers under the 2019 AEP, including terms relating to termination of employment and forfeiture of the awards, awards being subject to any clawback polices we may be required to adopt, adjustments in the event of changes to capitalization and similar events, plan amendments and transferability of awards, are generally consistent with the terms of the RSUs granted under the 2022 RSU Plan, as described 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2019 EIP</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2019 EIP was adopted by our shareholders on December 8, 2019 and amended and restated on September 6, 2022, and allows for the grant of awards to our Executive Committee members or other eligible employees designated by the Remuneration Committee in its absolute discretion acting unanimously. Only one of our executive officers holds an award under the 2019 EIP. The material terms of the 2019 EIP are substantially similar to the terms of the 2019 AEP described above, except that (1) participation is generally limited to our executive officers, (2) the aggregate number of shares over which the Remuneration Committee may grant awards under the 2019 EIP is 0.3 percent of the aggregate nominal amount of our fully diluted equity share capital (excluding any shares allocated in respect of lapsed awards under the 2019 EIP), and (3) vesting of the executive officer’s RSUs upon the earliest to occur of an initial public offering, sale or other change in control event and a specified future date is not subject to the value thresholds noted in the discussion of the 2019 AEP.</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Omnibus Incentive Plans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 2023, our Board of Directors adopted and our shareholders approved the Omnibus Incentive Plan, which we intend to use following the completion of this offering for the grant of incentive awards to our employees, including our executive directors, and our non-employees, including our non-employee directors. The Omnibus Incentive Plan will become effective upon the completion of this offering. The principal terms of the Omnibus Incentive Plan are summarized below.</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employees, including executive directors, and employees of our subsidiaries will be eligible to participate in the Omnibus Incentive Plan. Our non-executive directors and consultants, and non-executive directors and consultants of our subsidiaries, are eligible to participate in the Non-Employee Sub-Plan to the Omnibus Incentive Plan. Persons eligible to receive awards under the Omnibus Incentive Plan (including the Non-Employee Sub-Plan) are together referred to as service providers below. Except as otherwise specified, references below to the Omnibus Incentive Plan include the Non-Employee Sub-Plan.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Omnibus Incentive Plan will be administered by our Remuneration Committee, subject to certain limitations imposed under the Omnibus Incentive Plan, and other applicable laws and stock exchange listing rules. The Remuneration Committee will have the authority to construe and interpret the Omnibus Incentive Plan, including any sub-plans or appendices to the Omnibus Incentive Plan, and the terms of awards granted under the Omnibus Incentive Plan, and to make all other determinations and take all actions deemed necessary or advisable for administering the Omnibus Incentive Plan.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maximum number of ordinary shares that may be issued under the Omnibus Incentive Plan as approved at the time of adoption of the</w:t>
      </w:r>
    </w:p>
    <w:p>
      <w:pPr>
        <w:spacing w:after="0" w:line="35"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Omnibus Incentive Plan was equal to the sum of (i) ordinary shares, (ii) any ordinary shares covered by any outstanding award granted under the Prior Plans (or a portion of such award) if such award (or a portion of such award) is forfeited, is canceled, is settled in cash or expires (whether voluntarily or involuntarily) without the issuance of ordinary shares underlying such award (or a portion of such award), and (iii) an annual increase on the first day of each year beginning on January 1, 2024 and ending on January 1, 2033, equal to the lesser of (A) 5% of the aggregate number of ordinary shares outstanding on December 31 of the immediately preceding calendar year and (B) such smaller number of ordinary shares as determined</w:t>
      </w:r>
    </w:p>
    <w:p>
      <w:pPr>
        <w:spacing w:after="0" w:line="3"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by our Board of Directors or our Remuneration Committee. No more than ordinary shares may be issued under the Omnibus Incentive Plan upon the exercise of incentive share options.</w:t>
      </w:r>
    </w:p>
    <w:p>
      <w:pPr>
        <w:spacing w:after="0" w:line="18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award under the Omnibus Incentive Plan expires, lapses or is terminated, settled in cash, or otherwise cancelled without having been fully exercised or earned, any unused shares subject to the award will become or again be available for new grants under the Omnibus Incentive Plan. To the extent not prohibited by applicable laws, any ordinary shares covered by an award that are surrendered or withheld in payment of the award’s exercise or purchase price, or in satisfaction of tax withholding obligations with respect to an award, will be deemed not to have been issued for purposes of determining the maximum number of ordinary shares that may be issued under the Omnibus Incentive Plan, unless otherwise determined by the Remuneration Committee.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Awards may be settled in ordinary shares or ADSs. References in this summary to ordinary shares include an equivalent number of our ADSs.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Ordinary shares issued under the Omnibus Incentive Plan may be new shares, shares purchased on the open market or treasury shares.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types of awards granted under the Omnibus Incentive Plan will be determined by the Remuneration Committee, but may include awards of share options, share appreciation rights (“SARs”), restricted share awards, RSUs, other awards (which may include a specified cash amount that is payable in cash or shares, or awards tied to the value of our ordinary shares), dividends and dividend equivalents. Vesting conditions applicable to awards may be based on continued service, achievement of company, business unit or other performance objectives, or such other criteria as the Remuneration Committee may establish.</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line="270"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Options and SARs</w:t>
      </w:r>
      <w:r>
        <w:rPr>
          <w:rFonts w:ascii="Arial" w:cs="Arial" w:eastAsia="Arial" w:hAnsi="Arial"/>
          <w:sz w:val="17"/>
          <w:szCs w:val="17"/>
          <w:color w:val="auto"/>
        </w:rPr>
        <w:t>. Options provide for the purchase of our ordinary shares in the future at an exercise price set at a specified price and</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become exercisable in one or more installments after the grant date, subject to the participant’s continued employment or service with us and/or subject to the satisfaction of performance targets established by the Remuneration Committee. SARs entitle their holder, upon exercise, to receive from us an amount equal to the appreciation of the shares subject to the award between the grant date and the exercise date, payable either in ordinary shares or cash, as determined by the Remuneration Committee. The Remuneration Committee will determine the number of shares covered by each option and SAR, and the conditions and limitations applicable to the exercise of each option and SAR. In general, the exercise price per share for each option or SAR granted under the Omnibus Incentive Plan will not be less than the fair market value of such share at the time of grant and the maximum term of an option or SAR granted under the Omnibus Incentive Plan will be 10 years from the date of grant.</w:t>
      </w:r>
    </w:p>
    <w:p>
      <w:pPr>
        <w:spacing w:after="0" w:line="86" w:lineRule="exact"/>
        <w:rPr>
          <w:rFonts w:ascii="Arial" w:cs="Arial" w:eastAsia="Arial" w:hAnsi="Arial"/>
          <w:sz w:val="17"/>
          <w:szCs w:val="17"/>
          <w:color w:val="auto"/>
        </w:rPr>
      </w:pPr>
    </w:p>
    <w:p>
      <w:pPr>
        <w:ind w:left="1080" w:right="140" w:hanging="424"/>
        <w:spacing w:after="0" w:line="254"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Restricted Shares and RSUs</w:t>
      </w:r>
      <w:r>
        <w:rPr>
          <w:rFonts w:ascii="Arial" w:cs="Arial" w:eastAsia="Arial" w:hAnsi="Arial"/>
          <w:sz w:val="18"/>
          <w:szCs w:val="18"/>
          <w:color w:val="auto"/>
        </w:rPr>
        <w:t>. Restricted shares are an award of non-transferable ordinary shares that remain forfeitable unless and until</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conditions are met and which may be subject to a purchase price. RSUs are contractual promises to deliver our ordinary shares (or, as determined by the Remuneration Committee, the cash equivalent) in the future, which may also be subject to transfer or forfeiture conditions unless and until specified conditions are met. The Remuneration Committee may provide that the delivery of the shares underlying RSUs will be deferred on a mandatory basis or at the election of the participant. The terms and conditions applicable to restricted shares and RSUs will be determined by the Remuneration Committee, subject to the conditions and limitations contained in the Omnibus Incentive Plan.</w:t>
      </w:r>
    </w:p>
    <w:p>
      <w:pPr>
        <w:spacing w:after="0" w:line="100" w:lineRule="exact"/>
        <w:rPr>
          <w:rFonts w:ascii="Arial" w:cs="Arial" w:eastAsia="Arial" w:hAnsi="Arial"/>
          <w:sz w:val="18"/>
          <w:szCs w:val="18"/>
          <w:color w:val="auto"/>
        </w:rPr>
      </w:pPr>
    </w:p>
    <w:p>
      <w:pPr>
        <w:ind w:left="1080" w:right="100" w:hanging="424"/>
        <w:spacing w:after="0" w:line="25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Other Awards; Dividends and Dividend Equivalents</w:t>
      </w:r>
      <w:r>
        <w:rPr>
          <w:rFonts w:ascii="Arial" w:cs="Arial" w:eastAsia="Arial" w:hAnsi="Arial"/>
          <w:sz w:val="18"/>
          <w:szCs w:val="18"/>
          <w:color w:val="auto"/>
        </w:rPr>
        <w:t>. Other awards may include awards of fully vested ordinary shares, cash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other awards valued wholly or partially by referring to, or otherwise based on, our ordinary shares or other property. Other awards may be granted to participants and may also be available as a payment form in the settlement of other awards, as standalone payments and as payment in lieu of compensation to which a participant is otherwise entitled. The Remuneration Committee will determine the terms and conditions of other awards, which may include any purchase price, performance goal, transfer restrictions and vesting conditions. Awards of restricted shares may also entitle the participant to receive dividends paid on the ordinary shares underlying the awards, and RSUs and other stock-based awards (other than options and SARs) may entitle the participant to receive dividend equivalents, which are notional entitlements representing the dividends that would have been paid had the ordinary shares underlying the award been outstanding. Dividends and dividend equivalents may be subject to the same vesting conditions as the awards to which they relate.</w:t>
      </w:r>
    </w:p>
    <w:p>
      <w:pPr>
        <w:spacing w:after="0" w:line="19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Awards may be granted in consideration of past or future services. The Remuneration Committee may, but need not, require the payment of consideration by the participant with respect to an award.</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To the extent terms of the Omnibus Incentive Plan do not address local laws in non-U.S. jurisdictions, we anticipate that provisions specific to such non-U.S. jurisdictions in which awards are granted will be addressed in the award agreement “riders,” which will set forth or modify otherwise applicable terms as needed to comply with local laws, including, as applicable, tax laws, securities laws, employment laws, data privacy requirements and exchange controls.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Prior to the issuance of ordinary shares with respect to an award granted under the Omnibus Incentive Plan, participants generally will not be allowed to transfer awards. Subject to applicable laws, the Remuneration Committee, however, may permit awards to be transferred in limited circumstances, such as to family members or to a trust for the benefit of such family members.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 of Plan; Amendment and Termination</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Omnibus Incentive Plan will have a 10-year term; however, our Board of Directors may amend, alter, suspend, discontinue or terminate the Omnibus Incentive Plan at any time. Shareholder approval to amend the Omnibus Incentive Plan may be necessary if the law or the Omnibus Incentive Plan so require. Generally, no amendment, alteration, suspension, discontinuance or termination will materially impair the rights of any participant or recipient of any award without the consent of the participant or recipient, unless the terms of an award expressly provide otherwise.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the event of a change in control, unless otherwise specified by the Remuneration Committee or specified in an individual agreement with the participant, awards generally will only accelerate to the extent they are not continued, substituted or assumed by the acquiring entity or if the participant’s service is terminated under specified circumstances within a specified period following the change in control. The Remuneration Committee may also elect to terminate an award in exchange for cash, rights or property, or cause an award to become fully exercisable and no longer subject to any forfeiture restrictions.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Adjustments for Certain Corporate Events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event of a stock dividend, stock split, combination or exchange of shares, merger, consolidation or certain other corporate events, in general the Remuneration Committee may adjust the number of ordinary shares, ADSs or other securities subject to the Omnibus Incentive Plan and outstanding awards, the exercise or strike price of outstanding awards, and any applicable performance criteria or other terms and conditions, and may provide for the substitution or assumption of outstanding awards in a manner intended to preserve the intended economic and other benefits of the plans and outstanding awards.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Non-U.S. and Non-U.K. Participants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Remuneration Committee may modify awards granted to participants who are non-U.S. or U.K. nationals or employed outside the U.S. and the U.K. or establish sub-plans or procedures to address differences in laws, rules, regulations or customs of such international jurisdictions with respect to tax, securities, currency, employee benefit or other matters or to enable awards to be granted in compliance with a tax favorable regime that may be available in any jurisdiction.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Non-Employee Sub-Plan</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Non-Employee Sub-Plan governs equity awards granted to our non-executive directors, consultants, advisers and other non-employee service providers and generally provides for awards to be made on identical terms to awards made under the Omnibus Incentive Plan.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Arm Annual Bonus Plan</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granted cash awards to our executive officers under the Arm Annual Bonus Plan (the “Annual Bonus Plan”). The principal features of this cash plan are summarized below. This summary is qualified in its entirety by reference to the actual text of the Annual Bonus Plan, which is filed as an exhibit to the registration statement of which this prospectus is a part.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our executive officers, the Annual Bonus Plan is administered by our Remuneration Committee.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(and our subsidiaries’) employees (which include our executive officers) are eligible to participate in the Annual Bonus Plan.</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Start of Plan Period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the start of each plan period (which runs from April 1 of a year to March 31 of the following year), the Remuneration Committee determines:</w:t>
      </w:r>
    </w:p>
    <w:p>
      <w:pPr>
        <w:spacing w:after="0" w:line="46" w:lineRule="exact"/>
        <w:rPr>
          <w:sz w:val="20"/>
          <w:szCs w:val="20"/>
          <w:color w:val="auto"/>
        </w:rPr>
      </w:pPr>
    </w:p>
    <w:p>
      <w:pPr>
        <w:ind w:left="120" w:hanging="4"/>
        <w:spacing w:after="0" w:line="292"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whether the Annual Bonus Plan will be operated in respect of that plan period, (ii) which eligible executive officers may participate in the Annual Bonus Plan, (iii) each participant’s target percentage of the actual base salary which may be payable as the bonus award (the “Target Bonus Percentage”) for such plan period; and (iv) the performance conditions for such plan period. With respect to the fiscal year ended March 31, 2023, the target bonus opportunity of our executive officers was in the range from 100% to 125% of their base salary levels. The maximum bonus award that can be earned is 200% of the target bonus award (based on the Target Bonus Percentage of the participant’s salary), including any individual performance multiplier.</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Performance Conditions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Remuneration Committee sets performance conditions for each plan period for the whole Company, one or more divisions or business units of the Arm group (or any subdivision thereof), and/or individual participants, as appropriate, and may in its sole discretion amend or waive the performance conditions in whole or in part (a) in accordance with the terms specified in the performance conditions, or (b) if events happen which cause the Remuneration Committee to consider that (i) the amended performance conditions would be a fairer measure of performance and would be no more difficult to satisfy than the existing performance conditions, or (ii) the existing performance conditions should be waived in whole or in part. The Remuneration Committee may withhold, reduce or cancel all or any part of the bonus award for any participant in the event that the Remuneration Committee considers that such participant’s performance or conduct during the plan period warrants such action.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respect to the fiscal year ended March 31, 2023, the performance conditions were based on the revenue and profit (EBITDA) of our group.</w:t>
      </w:r>
    </w:p>
    <w:p>
      <w:pPr>
        <w:spacing w:after="0" w:line="24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With respect to the fiscal year ended March 31, 2023, a participant’s actual bonus percentage was affected by (i) the Company performance multiplier (the maximum of which was 100%), and (ii) such participant’s individual performance multiplier, based on such participant’s overall ratings assigned in his or her 2023 annual review. The maximum bonus award a participant could receive for the fiscal year ended March 31, 2023 was 125% of the Target Bonus Percentage of his or her actual base salary (100% attributed to our performance, multiplied by 1.25 for an “Exceptional” rating).</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Hires</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 person who becomes an eligible executive officer during the course of a plan period and who the Remuneration Committee determines shall become a participant will be eligible to receive a pro-rated bonus award for such plan period. The pro-rated bonus award will be calculated by determining what the participant’s full-year bonus award entitlement would have been under the applicable performance conditions and then making a pro-rata adjustment to such entitlement based on the portion of such plan period in which such participant participated in the Annual Bonus Plan.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Performance Conditions and Targets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Remuneration Committee, in its sole discretion and at any time within a plan period, may evaluate performance conditions and make changes to a participant’s defined targets. In such case, such participant’s bonus award shall be calculated based on the Remuneration Committee’s evaluation, in its sole discretion, of what such participant’s full-year bonus award entitlement would have been under the original performance conditions and what such participant’s full-year bonus award entitlement would be under the new performance conditions. Following this, the Remuneration Committee shall make an adjustment to such bonus award based on each of the two entitlements.</w:t>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 of Employment</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Generally, a participant must be continuously employed by a member of our group through the end of the applicable plan period in order to receive a bonus award for such plan period. If a participant ceases to be an eligible executive officer prior to the end of such plan period for any reason, such participant shall immediately forfeit upon termination any and all entitlement to any portion of the bonus award for such plan period.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In the event of a change of control event during a plan period, the plan period will end and each participant will receive a bonus award payment, payable as soon as administratively practicable following such change of control event, calculated by determining what such participant’s full-year bonus award entitlement would have been based on deemed maximum achievement of the applicable performance conditions through the date of the consummation of such change of control event and then making a pro-rata adjustment to such entitlement based on the portion of such plan period occurring before the date on which such change of control event is consummated.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Subject to applicable law, our Board of Directors or Executive Committee (or another duly authorized committee) may (i) delete, alter or add to any of the provisions of the Annual Bonus Plan in any respect at any time unilaterally and without the consent of any participant, or (ii) terminate the Annual Bonus Plan at any time. If the Annual Bonus Plan is terminated during a plan period, such termination will not affect the operation of the Annual Bonus Plan for the rest of such plan period and bonus awards may be determined and paid pursuant to the rules of the Annual Bonus Plan.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 Vesting at the Completion of this Offering</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have granted Executive Awards and RSUs with customized vesting schedules to certain of our executive officers, which will begin vesting upon the completion of this offering. Executive Awards will be settled in a number of ordinary shares based on the initial public offering price per ADS.</w:t>
      </w:r>
    </w:p>
    <w:p>
      <w:pPr>
        <w:ind w:left="120" w:right="420"/>
        <w:spacing w:after="0" w:line="265" w:lineRule="auto"/>
        <w:rPr>
          <w:sz w:val="20"/>
          <w:szCs w:val="20"/>
          <w:color w:val="auto"/>
        </w:rPr>
      </w:pPr>
      <w:r>
        <w:rPr>
          <w:rFonts w:ascii="Arial" w:cs="Arial" w:eastAsia="Arial" w:hAnsi="Arial"/>
          <w:sz w:val="17"/>
          <w:szCs w:val="17"/>
          <w:color w:val="auto"/>
        </w:rPr>
        <w:t>In particular, (i) an Executive Award with a value of $ million that was granted to our Chief Executive Officer will be converted into ordinary shares upon the completion of this offering and will vest in its entirety upon consummation of this offering, subject to a 12-month holding</w:t>
      </w:r>
    </w:p>
    <w:p>
      <w:pPr>
        <w:ind w:left="120" w:right="220"/>
        <w:spacing w:after="0" w:line="253" w:lineRule="auto"/>
        <w:rPr>
          <w:sz w:val="20"/>
          <w:szCs w:val="20"/>
          <w:color w:val="auto"/>
        </w:rPr>
      </w:pPr>
      <w:r>
        <w:rPr>
          <w:rFonts w:ascii="Arial" w:cs="Arial" w:eastAsia="Arial" w:hAnsi="Arial"/>
          <w:sz w:val="18"/>
          <w:szCs w:val="18"/>
          <w:color w:val="auto"/>
        </w:rPr>
        <w:t>period and (ii) Executive Awards with an aggregate value of $ million that were granted to two executive officers will be converted into an aggregate of ordinary shares upon the completion of this offering and will vest in installments over 36 months based on the particular executive officer’s vesting schedule. Assuming an initial public offering price of $ per ADS, which is the midpoint of the price range set forth on the cover page of this prospectus, our executive officers will receive an aggregate of shares upon the completion of this offering, subject in each case to the award’s vesting schedule and the terms of the award agreement.</w:t>
      </w:r>
    </w:p>
    <w:p>
      <w:pPr>
        <w:sectPr>
          <w:pgSz w:w="11900" w:h="16838" w:orient="portrait"/>
          <w:cols w:equalWidth="0" w:num="1">
            <w:col w:w="11120"/>
          </w:cols>
          <w:pgMar w:left="320" w:top="459" w:right="459" w:bottom="1440" w:gutter="0" w:footer="0" w:header="0"/>
        </w:sectPr>
      </w:pPr>
    </w:p>
    <w:p>
      <w:pPr>
        <w:spacing w:after="0" w:line="19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we granted a special cash award in the amount of $ offering.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 our Chief Executive Officer, which will vest upon the completion of this</w:t>
      </w:r>
    </w:p>
    <w:p>
      <w:pPr>
        <w:spacing w:after="0" w:line="493" w:lineRule="exact"/>
        <w:rPr>
          <w:sz w:val="20"/>
          <w:szCs w:val="20"/>
          <w:color w:val="auto"/>
        </w:rPr>
      </w:pPr>
    </w:p>
    <w:p>
      <w:pPr>
        <w:sectPr>
          <w:pgSz w:w="11900" w:h="16838" w:orient="portrait"/>
          <w:cols w:equalWidth="0" w:num="2">
            <w:col w:w="5100" w:space="420"/>
            <w:col w:w="5600"/>
          </w:cols>
          <w:pgMar w:left="320" w:top="459" w:right="45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To the extent permitted by the Companies Act,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 prior to the completion of this offering. In addition to such indemnification, we provide our directors and executive officers with directors’ and officers’ liability insurance.</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In addition to the director, director nominee and executive officer remuneration and indemnification arrangements discussed above in the section titled “Management and Executive Remuneration,” this section describes transactions or loans, since April 1, 2020, between us and (a) enterprises that directly or indirectly through one or more intermediaries, control or are controlled by, or are under common control with, our company; (b) associates;</w:t>
      </w:r>
    </w:p>
    <w:p>
      <w:pPr>
        <w:spacing w:after="0" w:line="2" w:lineRule="exact"/>
        <w:rPr>
          <w:sz w:val="20"/>
          <w:szCs w:val="20"/>
          <w:color w:val="auto"/>
        </w:rPr>
      </w:pPr>
    </w:p>
    <w:p>
      <w:pPr>
        <w:ind w:left="120" w:hanging="4"/>
        <w:spacing w:after="0" w:line="271" w:lineRule="auto"/>
        <w:tabs>
          <w:tab w:leader="none" w:pos="365"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SoftBank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Non-Recourse Facility</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March 2022, certain subsidiaries of SoftBank entered into a non-recourse term loan facility (the “SoftBank Non-Recourse Facility”), which was amended and upsized in June 2022, which is a non-recourse term loan facility with certain lenders pursuant to which a subsidiary of SoftBank borrowed</w:t>
      </w:r>
    </w:p>
    <w:p>
      <w:pPr>
        <w:ind w:left="120" w:right="160"/>
        <w:spacing w:after="0" w:line="255" w:lineRule="auto"/>
        <w:rPr>
          <w:sz w:val="20"/>
          <w:szCs w:val="20"/>
          <w:color w:val="auto"/>
        </w:rPr>
      </w:pPr>
      <w:r>
        <w:rPr>
          <w:rFonts w:ascii="Arial" w:cs="Arial" w:eastAsia="Arial" w:hAnsi="Arial"/>
          <w:sz w:val="18"/>
          <w:szCs w:val="18"/>
          <w:color w:val="auto"/>
        </w:rPr>
        <w:t>$8.5 billion, all of which remains outstanding as of the date of this prospectus. A subsidiary of SoftBank has pledged of our ordinary shares, representing approximately % of our total issued and outstanding share capital as of the date of this prospectus, as security for the SoftBank Non-Recourse Facility.</w:t>
      </w:r>
    </w:p>
    <w:p>
      <w:pPr>
        <w:spacing w:after="0" w:line="190"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In connection with the SoftBank Non-Recourse Facility, in March 2022, we entered into a Springing Guarantee and Indemnity with J.P. Morgan SE, as facility agent, pursuant to which we agreed to, upon the occurrence of certain triggering events, provide a guarantee to the lenders for amounts borrowed under the SoftBank Non-Recourse Facility. Our obligation to provide such guarantee will terminate pursuant to its terms upon the listing of our ADSs in connection with this offering. SoftBank has informed us that (i) it expects to repay or refinance the term loan facility prior to the completion of this offering, and (ii) at the time of such repayment or refinancing, that our springing guarantee and indemnity will be terminated. However, we can provide no assurances that the term loan facility will be repaid or refinanced prior to the completion of this offering or at all.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Vision Fund Non-Recourse Facility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June 24, 2022, certain subsidiaries of SoftBank Vision Fund, a subsidiary of SoftBank, entered into a non-recourse term loan facility (the</w:t>
      </w:r>
    </w:p>
    <w:p>
      <w:pPr>
        <w:spacing w:after="0" w:line="35"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“SoftBank Vision Fund Non-Recourse Facility”) with certain lenders pursuant to which the borrowers may borrow up to $ . An affiliate of SoftBank Vision Fund has pledged of our ordinary shares, representing approximately % of our total issued and outstanding share capital as of the</w:t>
      </w:r>
    </w:p>
    <w:p>
      <w:pPr>
        <w:ind w:left="120" w:right="120"/>
        <w:spacing w:after="0" w:line="323" w:lineRule="auto"/>
        <w:rPr>
          <w:sz w:val="20"/>
          <w:szCs w:val="20"/>
          <w:color w:val="auto"/>
        </w:rPr>
      </w:pPr>
      <w:r>
        <w:rPr>
          <w:rFonts w:ascii="Arial" w:cs="Arial" w:eastAsia="Arial" w:hAnsi="Arial"/>
          <w:sz w:val="16"/>
          <w:szCs w:val="16"/>
          <w:color w:val="auto"/>
        </w:rPr>
        <w:t>date of this prospectus, as security for the SoftBank Vision Fund Non-Recourse Facility, in addition to certain other portfolio assets of SoftBank Vision Fund that are pledged as security. Pursuant to its terms, the SoftBank Vision Fund Non-Recourse Facility is scheduled to mature on June 24, 2025.</w:t>
      </w:r>
    </w:p>
    <w:p>
      <w:pPr>
        <w:spacing w:after="0" w:line="13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connection with the SoftBank Vision Fund Non-Recourse Facility, in June 2022, we entered into certain customary undertakings with Mizuho Bank, Ltd, as Facility Agent.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Transactions with SoftBank</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Following a strategic decision in 2021 to place greater focus on our core technology licensing business, we decided to distribute or sell certain components of our IoT business to subsidiaries of SoftBank. In June 2021, we distributed all of the equity interests in Treasure Data to our shareholders, and in November 2021, we sold IoTP to subsidiaries of SoftBank. Treasure Data’s and IoTP’s net assets upon distribution and sale were approximately $44 million and $12 million, respectively.</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Prior to the distribution of Treasure Data, a member of SoftBank made a $50 million loan to Treasure Data. This loan accrued interest at a rate of 2.0% per annum. The loan balance, including accrued interest, was included in the distribution of Treasure Data to Arm Limited’s shareholders.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Jeffrey A. Sine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Mr. Sine is a Co-Founder and Partner of The Raine Group LLC. In connection with this offering, Raine has performed certain IPO advisory and</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placement agent services on behalf of us, for which it is expected to receive a fee equal to up to $ , equivalent to up to % of the dollar value of the total gross underwriting spread in this offering (inclusive of all compensation to the underwriters, such as underwriting discounts and commissions, but exclusive of out-of-pocket expenses incurred by us and reimbursed by the underwriters).</w:t>
      </w:r>
    </w:p>
    <w:p>
      <w:pPr>
        <w:spacing w:after="0" w:line="19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Furthermore, Mr. Sine, Raine and its affiliated entities engage in transactions with SoftBank, SoftBank Vision Fund, and their respective management and affiliates. Certain of these transactions have involved SoftBank’s investment in us. Other such transactions include a broad range of advisory services performed on behalf of SoftBank and its affiliates. In addition, SoftBank retains an indirect minority ownership stake in The Raine Group LLC and is an investor in certain investment funds managed by Raine Capital LLC, a subsidiary of The Raine Group LLC.</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Associates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China</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On March 28, 2022, we sold our entire equity interest in Arm China to another subsidiary of SoftBank, Acetone Limited, for consideration of approximately $930 million. The consideration was exchanged for a promissory note equal to 90% of the consideration and shares in Acetone Limited equal to the remaining 10% of the consideration. On the same date, the promissory note receivable was distributed to our shareholders. Following the distribution and in satisfaction of the balance of the consideration left outstanding, Acetone Limited issued new shares to Arm Limited such that the obligation of Acetone Limited in respect of the payment of the consideration left outstanding was satisfied fully and extinguished.</w:t>
      </w:r>
    </w:p>
    <w:p>
      <w:pPr>
        <w:spacing w:after="0" w:line="16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 of the date of this prospectus, approximately 48% of the equity interest in Arm China is owned by Acetone Limited, which is controlled by SoftBank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are party to the IPLA with Arm China, under which Arm China licenses certain of our IP from us that Arm China in turn sublicenses to its PRC customers. Prior to the entry into this arrangement, Arm China’s results were consolidated in our financial statements; however, as a result of the transaction described above, Arm China’s results will no longer be consolidated in our financial statements. Under the IPLA with Arm China, Arm China’s payments due to us are determined based on the financial information that Arm China provides to us.</w:t>
      </w:r>
    </w:p>
    <w:p>
      <w:pPr>
        <w:spacing w:after="0" w:line="17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the fiscal years ended March 31, 2023, 2022 and 2021, revenues attributable to our relationship with Arm China were approximately %, 18% and 20% of our total revenues, respectively.</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under the IPLA with Arm China,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1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320" w:top="459" w:right="5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See “Risk Factors—Risks Relating to Our Business and Industry—We depend on our commercial relationship with Arm China to access the PRC market. If that commercial relationship no longer existed or deteriorates, our ability to compete in the PRC market could be materially and adversely affected” and “Risk Factors—Risks Relating to Our Business and Industry—Neither we nor SoftBank controls the operations of Arm China, which operates independently of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the ordinary course, Arm entities enter into transactions with counterparties affiliated with the Company’s indirect shareholders on an arms’ length basis, including SoftBank Corp. and its affiliates.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Prior to the completion of this offering, we expect to adopt a related party transaction policy. Our related party transaction policy will set forth our procedures for the identification, review, consideration and approval or ratification of related party transactions. The policy will become effective in connection with this offering. For purposes of our policy only, a related party transaction is any transaction, arrangement or relationship or series of similar transactions, arrangements or relationships (including any indebtedness or guarantee of indebtedness) between us or any of our parent or subsidiaries and any related party. Transactions involving compensation for services provided to us as an employee or director are not covered by this policy.</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Under the policy, if a transaction has been identified as a related party transaction, including any transaction that was not a related party transaction when originally consummated or any transaction that was not initially identified as a related party transaction prior to consummation, the related party transaction must be approved or ratified by our Board of Directors. In reviewing any such transaction, our Board of Directors will consider, among other things, the material facts, the interests, direct and indirect, of the related parties,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shareholder to enable us to identify any existing or potential related party transactions and to effectuate the terms of the policy. In addition, under our Code of Conduct, our employees and directors have an affirmative responsibility to disclose any material transaction or relationship that may give rise to a conflict of interest.</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AND SELLING SHAREHOLDERS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20" w:type="dxa"/>
            <w:vAlign w:val="bottom"/>
            <w:gridSpan w:val="2"/>
          </w:tcPr>
          <w:p>
            <w:pPr>
              <w:ind w:left="440"/>
              <w:spacing w:after="0"/>
              <w:rPr>
                <w:sz w:val="20"/>
                <w:szCs w:val="20"/>
                <w:color w:val="auto"/>
              </w:rPr>
            </w:pPr>
            <w:r>
              <w:rPr>
                <w:rFonts w:ascii="Arial" w:cs="Arial" w:eastAsia="Arial" w:hAnsi="Arial"/>
                <w:sz w:val="18"/>
                <w:szCs w:val="18"/>
                <w:color w:val="auto"/>
                <w:w w:val="94"/>
              </w:rPr>
              <w:t>The following table and related footnotes set forth information with respect to the beneficial ownership of our ordinary shares, as of</w:t>
            </w:r>
          </w:p>
        </w:tc>
        <w:tc>
          <w:tcPr>
            <w:tcW w:w="780" w:type="dxa"/>
            <w:vAlign w:val="bottom"/>
          </w:tcPr>
          <w:p>
            <w:pPr>
              <w:jc w:val="right"/>
              <w:spacing w:after="0"/>
              <w:rPr>
                <w:sz w:val="20"/>
                <w:szCs w:val="20"/>
                <w:color w:val="auto"/>
              </w:rPr>
            </w:pPr>
            <w:r>
              <w:rPr>
                <w:rFonts w:ascii="Arial" w:cs="Arial" w:eastAsia="Arial" w:hAnsi="Arial"/>
                <w:sz w:val="18"/>
                <w:szCs w:val="18"/>
                <w:color w:val="auto"/>
              </w:rPr>
              <w:t>, 2023,</w:t>
            </w:r>
          </w:p>
        </w:tc>
      </w:tr>
      <w:tr>
        <w:trPr>
          <w:trHeight w:val="230"/>
        </w:trPr>
        <w:tc>
          <w:tcPr>
            <w:tcW w:w="10220" w:type="dxa"/>
            <w:vAlign w:val="bottom"/>
            <w:gridSpan w:val="2"/>
          </w:tcPr>
          <w:p>
            <w:pPr>
              <w:spacing w:after="0"/>
              <w:rPr>
                <w:sz w:val="20"/>
                <w:szCs w:val="20"/>
                <w:color w:val="auto"/>
              </w:rPr>
            </w:pPr>
            <w:r>
              <w:rPr>
                <w:rFonts w:ascii="Arial" w:cs="Arial" w:eastAsia="Arial" w:hAnsi="Arial"/>
                <w:sz w:val="18"/>
                <w:szCs w:val="18"/>
                <w:color w:val="auto"/>
              </w:rPr>
              <w:t>after giving effect to our corporate reorganization, and as adjusted to reflect the sale of the ADSs offered in this offering, by:</w:t>
            </w:r>
          </w:p>
        </w:tc>
        <w:tc>
          <w:tcPr>
            <w:tcW w:w="780" w:type="dxa"/>
            <w:vAlign w:val="bottom"/>
          </w:tcPr>
          <w:p>
            <w:pPr>
              <w:spacing w:after="0"/>
              <w:rPr>
                <w:sz w:val="20"/>
                <w:szCs w:val="20"/>
                <w:color w:val="auto"/>
              </w:rPr>
            </w:pPr>
          </w:p>
        </w:tc>
      </w:tr>
      <w:tr>
        <w:trPr>
          <w:trHeight w:val="338"/>
        </w:trPr>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each beneficial owner of 5% or more of our outstanding ordinary shares;</w:t>
            </w:r>
          </w:p>
        </w:tc>
        <w:tc>
          <w:tcPr>
            <w:tcW w:w="780" w:type="dxa"/>
            <w:vAlign w:val="bottom"/>
          </w:tcPr>
          <w:p>
            <w:pPr>
              <w:spacing w:after="0"/>
              <w:rPr>
                <w:sz w:val="24"/>
                <w:szCs w:val="24"/>
                <w:color w:val="auto"/>
              </w:rPr>
            </w:pPr>
          </w:p>
        </w:tc>
      </w:tr>
      <w:tr>
        <w:trPr>
          <w:trHeight w:val="338"/>
        </w:trPr>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each of our directors and executive officers;</w:t>
            </w:r>
          </w:p>
        </w:tc>
        <w:tc>
          <w:tcPr>
            <w:tcW w:w="780" w:type="dxa"/>
            <w:vAlign w:val="bottom"/>
          </w:tcPr>
          <w:p>
            <w:pPr>
              <w:spacing w:after="0"/>
              <w:rPr>
                <w:sz w:val="24"/>
                <w:szCs w:val="24"/>
                <w:color w:val="auto"/>
              </w:rPr>
            </w:pPr>
          </w:p>
        </w:tc>
      </w:tr>
      <w:tr>
        <w:trPr>
          <w:trHeight w:val="338"/>
        </w:trPr>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all of our directors and executive officers as a group; and</w:t>
            </w:r>
          </w:p>
        </w:tc>
        <w:tc>
          <w:tcPr>
            <w:tcW w:w="780" w:type="dxa"/>
            <w:vAlign w:val="bottom"/>
          </w:tcPr>
          <w:p>
            <w:pPr>
              <w:spacing w:after="0"/>
              <w:rPr>
                <w:sz w:val="24"/>
                <w:szCs w:val="24"/>
                <w:color w:val="auto"/>
              </w:rPr>
            </w:pPr>
          </w:p>
        </w:tc>
      </w:tr>
      <w:tr>
        <w:trPr>
          <w:trHeight w:val="338"/>
        </w:trPr>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440" w:type="dxa"/>
            <w:vAlign w:val="bottom"/>
          </w:tcPr>
          <w:p>
            <w:pPr>
              <w:ind w:left="180"/>
              <w:spacing w:after="0"/>
              <w:rPr>
                <w:sz w:val="20"/>
                <w:szCs w:val="20"/>
                <w:color w:val="auto"/>
              </w:rPr>
            </w:pPr>
            <w:r>
              <w:rPr>
                <w:rFonts w:ascii="Arial" w:cs="Arial" w:eastAsia="Arial" w:hAnsi="Arial"/>
                <w:sz w:val="18"/>
                <w:szCs w:val="18"/>
                <w:color w:val="auto"/>
              </w:rPr>
              <w:t>each selling shareholder.</w:t>
            </w:r>
          </w:p>
        </w:tc>
        <w:tc>
          <w:tcPr>
            <w:tcW w:w="780" w:type="dxa"/>
            <w:vAlign w:val="bottom"/>
          </w:tcPr>
          <w:p>
            <w:pPr>
              <w:spacing w:after="0"/>
              <w:rPr>
                <w:sz w:val="24"/>
                <w:szCs w:val="24"/>
                <w:color w:val="auto"/>
              </w:rPr>
            </w:pPr>
          </w:p>
        </w:tc>
      </w:tr>
    </w:tbl>
    <w:p>
      <w:pPr>
        <w:spacing w:after="0" w:line="202"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issuable upon the</w:t>
      </w:r>
    </w:p>
    <w:p>
      <w:pPr>
        <w:ind w:left="120" w:right="360"/>
        <w:spacing w:after="0" w:line="260" w:lineRule="auto"/>
        <w:rPr>
          <w:sz w:val="20"/>
          <w:szCs w:val="20"/>
          <w:color w:val="auto"/>
        </w:rPr>
      </w:pPr>
      <w:r>
        <w:rPr>
          <w:rFonts w:ascii="Arial" w:cs="Arial" w:eastAsia="Arial" w:hAnsi="Arial"/>
          <w:sz w:val="18"/>
          <w:szCs w:val="18"/>
          <w:color w:val="auto"/>
        </w:rPr>
        <w:t>exercise of options that are immediately exercisable or exercisable within 60 days of , 2023. Percentage ownership calculations are based on ordinary shares outstanding as of , 2023 after giving effect to our corporate reorganization.</w:t>
      </w:r>
    </w:p>
    <w:p>
      <w:pPr>
        <w:spacing w:after="0" w:line="18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percentage of ordinary shares beneficially owned after the completion of this offering is based on ordinary shares outstanding after this offering, including the ordinary shares represented by ADSs to be issued in connection with this offering, and assuming (i) no exercise of the underwriters’ option to purchase additional ADSs; and (ii) a public offering price of $ per ADS, which is the midpoint of the price range set forth on the cover page of this prospectus.</w:t>
      </w:r>
    </w:p>
    <w:p>
      <w:pPr>
        <w:spacing w:after="0" w:line="187"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affiliates within the past three years is included under “Related Party Transactions.” The principal shareholders listed below do not have voting rights with respect to their ordinary shares that are different from the voting rights of other holders of our ordinary shares.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Except as otherwise indicated in the table below, addresses of the directors, executive officers and named beneficial owners are care of Arm</w:t>
      </w:r>
    </w:p>
    <w:p>
      <w:pPr>
        <w:spacing w:after="0" w:line="46"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Limited, 110 Fulbourn Road, Cambridge CB1 9NJ, United Kingdom. As of , 2023, to our knowledge, there are no U.S. record holders of our issued and outstanding ordinary shares.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Shareholder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Shareholders and Selling Shareholders:</w:t>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Masayoshi 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Ronald D. Fisher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Jeffrey A. Sine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Karen E. Dykstra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Anthony Michael Fadell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Rosemary Schooler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Paul E. Jacobs, PhD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Rene Haas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Child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Kirsty Gill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Spencer Collins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Grisenthwaite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 Abbey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executive officers and directors as a group (13 individuals)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Ordinary Shares</w:t>
            </w:r>
          </w:p>
        </w:tc>
        <w:tc>
          <w:tcPr>
            <w:tcW w:w="62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9"/>
              </w:rPr>
              <w:t>Ordinary</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Ordinary Shares</w:t>
            </w:r>
          </w:p>
        </w:tc>
      </w:tr>
      <w:tr>
        <w:trPr>
          <w:trHeight w:val="148"/>
        </w:trPr>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62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Shares Offered</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r>
      <w:tr>
        <w:trPr>
          <w:trHeight w:val="162"/>
        </w:trPr>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Prior to this Offering</w:t>
            </w:r>
          </w:p>
        </w:tc>
        <w:tc>
          <w:tcPr>
            <w:tcW w:w="620" w:type="dxa"/>
            <w:vAlign w:val="bottom"/>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Pursuant to</w:t>
            </w: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After this Offering</w:t>
            </w:r>
          </w:p>
        </w:tc>
      </w:tr>
      <w:tr>
        <w:trPr>
          <w:trHeight w:val="142"/>
        </w:trPr>
        <w:tc>
          <w:tcPr>
            <w:tcW w:w="6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2"/>
                <w:szCs w:val="12"/>
                <w:color w:val="auto"/>
              </w:rPr>
            </w:pPr>
          </w:p>
        </w:tc>
        <w:tc>
          <w:tcPr>
            <w:tcW w:w="5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Percent</w:t>
            </w:r>
          </w:p>
        </w:tc>
        <w:tc>
          <w:tcPr>
            <w:tcW w:w="62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this Offering</w:t>
            </w:r>
          </w:p>
        </w:tc>
        <w:tc>
          <w:tcPr>
            <w:tcW w:w="620" w:type="dxa"/>
            <w:vAlign w:val="bottom"/>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2"/>
                <w:szCs w:val="12"/>
                <w:color w:val="auto"/>
              </w:rPr>
            </w:pPr>
          </w:p>
        </w:tc>
        <w:tc>
          <w:tcPr>
            <w:tcW w:w="5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-7620</wp:posOffset>
            </wp:positionV>
            <wp:extent cx="699516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265430</wp:posOffset>
            </wp:positionV>
            <wp:extent cx="699516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608330</wp:posOffset>
            </wp:positionV>
            <wp:extent cx="699516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883285</wp:posOffset>
            </wp:positionV>
            <wp:extent cx="699516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1157605</wp:posOffset>
            </wp:positionV>
            <wp:extent cx="699516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1431290</wp:posOffset>
            </wp:positionV>
            <wp:extent cx="699516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1706245</wp:posOffset>
            </wp:positionV>
            <wp:extent cx="699516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1979930</wp:posOffset>
            </wp:positionV>
            <wp:extent cx="699516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2254250</wp:posOffset>
            </wp:positionV>
            <wp:extent cx="699516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145</w:t>
      </w:r>
    </w:p>
    <w:p>
      <w:pPr>
        <w:sectPr>
          <w:pgSz w:w="11900" w:h="16838" w:orient="portrait"/>
          <w:cols w:equalWidth="0" w:num="2">
            <w:col w:w="4720" w:space="720"/>
            <w:col w:w="5660"/>
          </w:cols>
          <w:pgMar w:left="320" w:top="459" w:right="47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i w:val="1"/>
          <w:iCs w:val="1"/>
          <w:color w:val="auto"/>
        </w:rPr>
        <w:t>The following describes our issued share capital, summarizes the material provisions of the Articles and highlights certain differences in corporate law in the U.K. and Delaware. Please note that this summary is not intended to be exhaustive and does not purport to be complete, and is qualified in its entirety by reference to the Articles to be in effect upon completion of this offering and applicable English law. For further information, please refer to the full version of the Articles, which are included as an exhibit to the registration statement of which this prospectus is a part. Further, please note that holders of ADSs to be in effect upon completion of this offering will not be treated as one of our shareholders and will not have any shareholder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Arm Holdings plc was incorporated as a private limited company with the legal name Arm Holdings Limited under the laws of England and Wales</w:t>
      </w:r>
    </w:p>
    <w:p>
      <w:pPr>
        <w:spacing w:after="0" w:line="46"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on April 9, 2018, with the company number 11299879. Arm Holdings Limited re-registered as a public limited company on , 2023 and changed its name to Arm Holdings plc.</w:t>
      </w:r>
    </w:p>
    <w:p>
      <w:pPr>
        <w:spacing w:after="0" w:line="18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which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On March 19, 2018, as a part of a reorganization, Arm Holdings plc with the company number 02548782 re-registered as a private limited company and was renamed SVF HoldCo (UK) Limited, which became a subsidiary of SoftBank Vision Fund. Our registered office is 110 Fulbourn Road, Cambridge, Cambridgeshire, CB1 9NJ, U.K.</w:t>
      </w:r>
    </w:p>
    <w:p>
      <w:pPr>
        <w:spacing w:after="0" w:line="16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Pursuant to the terms of our corporate reorganization: (i) each ordinary share in the capital of Arm Holdings Limited was transferred, by way of a dividend in specie, by Arm Limited to each of the shareholders of Arm Limited in an approximate proportion to the shareholding that such shareholders hold in Arm Limited; (ii) the shareholders of Arm Limited exchanged each of the ordinary shares held by them in Arm Limited for newly issued ordinary shares of Arm Holdings Limited of the same class and in approximately the same proportions as their previous shareholding in Arm Limited, and as a result, Arm Holdings Limited became the sole shareholder of Arm Limited; and (iii) Arm Holdings Limited re-registered as a public limited company and changed its name to Arm Holdings plc. See “Corporate Reorganization” for more information.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March 31, 2023, the issued share capital of Arm Limited consists of a single class of ordinary shares, and 1,025,234,000 ordinary shares of</w:t>
      </w:r>
    </w:p>
    <w:p>
      <w:pPr>
        <w:spacing w:after="0" w:line="46" w:lineRule="exact"/>
        <w:rPr>
          <w:sz w:val="20"/>
          <w:szCs w:val="20"/>
          <w:color w:val="auto"/>
        </w:rPr>
      </w:pPr>
    </w:p>
    <w:p>
      <w:pPr>
        <w:ind w:left="1060" w:right="940" w:hanging="944"/>
        <w:spacing w:after="0" w:line="250" w:lineRule="auto"/>
        <w:rPr>
          <w:sz w:val="20"/>
          <w:szCs w:val="20"/>
          <w:color w:val="auto"/>
        </w:rPr>
      </w:pPr>
      <w:r>
        <w:rPr>
          <w:rFonts w:ascii="Arial" w:cs="Arial" w:eastAsia="Arial" w:hAnsi="Arial"/>
          <w:sz w:val="18"/>
          <w:szCs w:val="18"/>
          <w:color w:val="auto"/>
        </w:rPr>
        <w:t>£0.001 per share were outstanding as of such date and each issued share is fully paid. During the period March 31, 2023 to</w:t>
      </w:r>
      <w:r>
        <w:rPr>
          <w:sz w:val="20"/>
          <w:szCs w:val="20"/>
          <w:color w:val="auto"/>
        </w:rPr>
        <w:t xml:space="preserve"> </w:t>
      </w:r>
      <w:r>
        <w:rPr>
          <w:rFonts w:ascii="Arial" w:cs="Arial" w:eastAsia="Arial" w:hAnsi="Arial"/>
          <w:sz w:val="18"/>
          <w:szCs w:val="18"/>
          <w:color w:val="auto"/>
        </w:rPr>
        <w:t>, 2023, new ordinary shares in the capital of Arm Limited were issued.</w:t>
      </w:r>
    </w:p>
    <w:p>
      <w:pPr>
        <w:spacing w:after="0" w:line="200" w:lineRule="exact"/>
        <w:rPr>
          <w:sz w:val="20"/>
          <w:szCs w:val="20"/>
          <w:color w:val="auto"/>
        </w:rPr>
      </w:pPr>
    </w:p>
    <w:p>
      <w:pPr>
        <w:spacing w:after="0" w:line="218"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Following the share exchange between the shareholders of Arm Limited and Arm Holdings Limited as part of our corporate reorganization, the shareholders of Arm Limited exchanged each of the ordinary shares held by them in Arm Limited for newly issued ordinary shares of Arm Holdings Limited of the same class and in approximately the same proportions as their previous shareholding in Arm Limited, and as a result, Arm Holdings Limited became the sole shareholder of Arm Limited. See “Corporate Reorganization” for more information.</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Following the completion of the remaining steps in the corporate reorganization on , 2023, the issued share capital of Arm Limited remains a single class of ordinary shares, and 1,025,234,000 ordinary shares of £0.001 per share were outstanding as of such date and each issued share is fully paid, and the issued share capital of Arm Holdings plc consists of a single class of ordinary shares, and 1,025,234,000 ordinary shares of £0.001 per share were outstanding as of such date and each issued share is fully paid.</w:t>
      </w:r>
    </w:p>
    <w:p>
      <w:pPr>
        <w:spacing w:after="0" w:line="187" w:lineRule="exact"/>
        <w:rPr>
          <w:sz w:val="20"/>
          <w:szCs w:val="20"/>
          <w:color w:val="auto"/>
        </w:rPr>
      </w:pPr>
    </w:p>
    <w:p>
      <w:pPr>
        <w:ind w:left="560"/>
        <w:spacing w:after="0"/>
        <w:tabs>
          <w:tab w:leader="none" w:pos="5180" w:val="left"/>
        </w:tabs>
        <w:rPr>
          <w:sz w:val="20"/>
          <w:szCs w:val="20"/>
          <w:color w:val="auto"/>
        </w:rPr>
      </w:pPr>
      <w:r>
        <w:rPr>
          <w:rFonts w:ascii="Arial" w:cs="Arial" w:eastAsia="Arial" w:hAnsi="Arial"/>
          <w:sz w:val="18"/>
          <w:szCs w:val="18"/>
          <w:color w:val="auto"/>
        </w:rPr>
        <w:t>Upon the completion of this offering, we will have</w:t>
      </w:r>
      <w:r>
        <w:rPr>
          <w:sz w:val="20"/>
          <w:szCs w:val="20"/>
          <w:color w:val="auto"/>
        </w:rPr>
        <w:tab/>
      </w:r>
      <w:r>
        <w:rPr>
          <w:rFonts w:ascii="Arial" w:cs="Arial" w:eastAsia="Arial" w:hAnsi="Arial"/>
          <w:sz w:val="16"/>
          <w:szCs w:val="16"/>
          <w:color w:val="auto"/>
        </w:rPr>
        <w:t>ordinary shares outstanding, including ordinary shares represented by ADSs.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accordance with the Companies Act, there is no limit on our authorized share capital. We do not have any shares that do not represent capital.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ordinary shares are held by or on behalf of the Company or by subsidiaries of the Company.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accordance with the Articles to be in effect upon the completion of this offering, the following summarizes the rights of holders of our ordinary shares:</w:t>
      </w:r>
    </w:p>
    <w:p>
      <w:pPr>
        <w:spacing w:after="0" w:line="76"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holder of our ordinary shares is entitled to one vote per ordinary share on all matters to be voted on by shareholders generally;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holders of our ordinary shares are entitled to receive such dividends as are recommended by our directors and declared by our shareholders.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“—Articles of Association”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RSUs are conditional rights to receive our ordinary shares in the future, which may also remain forfeitable unless and until specified conditions are met. Each RSU entitles the holder thereof to one ordinary share upon vesting subject to the Remuneration Committee’s right to settle the RSUs in cash (except in certain jurisdictions). See “Management and Executive Remuneration—Equity Incentive Plans.”</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of , 2023, there were a total of RSUs outstanding under the 2019 AEP, which vest on the occurrence of an “exit event” (which includes the completion of this offering) to the extent that the relevant vesting hurdle is met or exceeded.</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of , 2023, there were a total of RSUs outstanding under 2019 EIP, which vest on the occurrence of an “exit event” (which includes the completion of this offering) and are not subject to any vesting hurdle.</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of , 2023, there were a total of RSUs outstanding under the 2022 RSU Plan, which vest over a three year period on an annual basis prior to the completion of this offering and on a quarterly basis following the completion of this offering.</w:t>
      </w:r>
    </w:p>
    <w:p>
      <w:pPr>
        <w:sectPr>
          <w:pgSz w:w="11900" w:h="16838" w:orient="portrait"/>
          <w:cols w:equalWidth="0" w:num="1">
            <w:col w:w="11120"/>
          </w:cols>
          <w:pgMar w:left="320" w:top="459" w:right="459" w:bottom="1440" w:gutter="0" w:footer="0" w:header="0"/>
        </w:sectPr>
      </w:pP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2023, there were no RSUs outstanding under the NED Plan.</w:t>
      </w:r>
    </w:p>
    <w:p>
      <w:pPr>
        <w:spacing w:after="0" w:line="211" w:lineRule="exact"/>
        <w:rPr>
          <w:sz w:val="20"/>
          <w:szCs w:val="20"/>
          <w:color w:val="auto"/>
        </w:rPr>
      </w:pPr>
    </w:p>
    <w:p>
      <w:pPr>
        <w:sectPr>
          <w:pgSz w:w="11900" w:h="16838" w:orient="portrait"/>
          <w:cols w:equalWidth="0" w:num="2">
            <w:col w:w="960" w:space="720"/>
            <w:col w:w="9440"/>
          </w:cols>
          <w:pgMar w:left="320" w:top="459" w:right="459" w:bottom="1440" w:gutter="0" w:footer="0" w:header="0"/>
          <w:type w:val="continuous"/>
        </w:sectPr>
      </w:pP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Awards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Executive Awards are conditional rights to receive a specified amount of cash or our shares in the future, which may also remain forfeitable unless and until specified conditions are met. After the completion of this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offering, the Executive Awards entitle the holder thereof to ordinary shares upon vesting subject to the Remuneration Committee’s right to settle the Executive Awards in cash. See “Management and Executive Remuneration—Equity Incentive Plans.”</w:t>
      </w:r>
    </w:p>
    <w:p>
      <w:pPr>
        <w:spacing w:after="0" w:line="170" w:lineRule="exact"/>
        <w:rPr>
          <w:sz w:val="20"/>
          <w:szCs w:val="20"/>
          <w:color w:val="auto"/>
        </w:rPr>
      </w:pPr>
    </w:p>
    <w:p>
      <w:pPr>
        <w:ind w:left="560"/>
        <w:spacing w:after="0"/>
        <w:tabs>
          <w:tab w:leader="none" w:pos="1520" w:val="left"/>
          <w:tab w:leader="none" w:pos="722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2023, there were Executive Awards in the aggregate amount of $</w:t>
      </w:r>
      <w:r>
        <w:rPr>
          <w:sz w:val="20"/>
          <w:szCs w:val="20"/>
          <w:color w:val="auto"/>
        </w:rPr>
        <w:tab/>
      </w:r>
      <w:r>
        <w:rPr>
          <w:rFonts w:ascii="Arial" w:cs="Arial" w:eastAsia="Arial" w:hAnsi="Arial"/>
          <w:sz w:val="16"/>
          <w:szCs w:val="16"/>
          <w:color w:val="auto"/>
        </w:rPr>
        <w:t>outstanding under the 2022 RSU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are required by the Companies Act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w:t>
      </w:r>
    </w:p>
    <w:p>
      <w:pPr>
        <w:spacing w:after="0" w:line="2" w:lineRule="exact"/>
        <w:rPr>
          <w:sz w:val="20"/>
          <w:szCs w:val="20"/>
          <w:color w:val="auto"/>
        </w:rPr>
      </w:pPr>
    </w:p>
    <w:p>
      <w:pPr>
        <w:ind w:left="120"/>
        <w:spacing w:after="0"/>
        <w:tabs>
          <w:tab w:leader="none" w:pos="8100" w:val="left"/>
        </w:tabs>
        <w:rPr>
          <w:sz w:val="20"/>
          <w:szCs w:val="20"/>
          <w:color w:val="auto"/>
        </w:rPr>
      </w:pPr>
      <w:r>
        <w:rPr>
          <w:rFonts w:ascii="Arial" w:cs="Arial" w:eastAsia="Arial" w:hAnsi="Arial"/>
          <w:sz w:val="18"/>
          <w:szCs w:val="18"/>
          <w:color w:val="auto"/>
        </w:rPr>
        <w:t>shares. Our share register upon the completion of this offering will be maintained by our registrar,</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Holders of the ADSs will not be treated as our shareholders and their names will therefore not be entered in our share register. The depositary, the custodian or their nominees will be the holder of the ordinary shares underlying the ADSs. Pursuant to the terms of the deposit agreement, holders of the ADSs have a right to receive the ordinary shares underlying their ADSs. For discussion on the ADSs and ADS holder rights, see “Description of American Depositary Shares” below.</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Under the Companies Act, we must enter an allotment of shares in our share register as soon as practicable and in any event within two months of the allotment. We are required by the Companies Act to register a transfer of shares (or give the transferee notice of and reasons for refusal as the transferee may reasonably request) as soon as practicable and in any event within two months of receiving notice of the transfer.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131"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wrongly entered in or omitted from our share register;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is a default or unnecessary delay in entering on the register the fact of any person having ceased to be a member.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The laws of England and Wales generally provide shareholders with statutory preemptive rights when new shares are issued for cash; however, it is possible for a company’s articles of association, or shareholders at a general meeting representing at least 75% of our ordinary shares present (in person or by proxy) and voting at that general meeting, to disapply these preemptive rights. Such a disapplication of preemptive rights may be for a maximum period of up to five years from the date of adoption of the Articles, if the disapplication is contained in the Articles, or from the date of the shareholder resolution, if the disapplication is by shareholder resolution. In either case, this disapplication would need to be renewed by the company’s</w:t>
      </w:r>
    </w:p>
    <w:p>
      <w:pPr>
        <w:spacing w:after="0" w:line="2"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shareholders upon its expiration (</w:t>
      </w:r>
      <w:r>
        <w:rPr>
          <w:rFonts w:ascii="Arial" w:cs="Arial" w:eastAsia="Arial" w:hAnsi="Arial"/>
          <w:sz w:val="17"/>
          <w:szCs w:val="17"/>
          <w:i w:val="1"/>
          <w:iCs w:val="1"/>
          <w:color w:val="auto"/>
        </w:rPr>
        <w:t>i.e.</w:t>
      </w:r>
      <w:r>
        <w:rPr>
          <w:rFonts w:ascii="Arial" w:cs="Arial" w:eastAsia="Arial" w:hAnsi="Arial"/>
          <w:sz w:val="17"/>
          <w:szCs w:val="17"/>
          <w:color w:val="auto"/>
        </w:rPr>
        <w:t>, at least every five years). On , 2023, our shareholders approved the disapplication of preemptive rights for a period ending , which disapplication will need to be renewed upon expiration (</w:t>
      </w:r>
      <w:r>
        <w:rPr>
          <w:rFonts w:ascii="Arial" w:cs="Arial" w:eastAsia="Arial" w:hAnsi="Arial"/>
          <w:sz w:val="17"/>
          <w:szCs w:val="17"/>
          <w:i w:val="1"/>
          <w:iCs w:val="1"/>
          <w:color w:val="auto"/>
        </w:rPr>
        <w:t>i.e.</w:t>
      </w:r>
      <w:r>
        <w:rPr>
          <w:rFonts w:ascii="Arial" w:cs="Arial" w:eastAsia="Arial" w:hAnsi="Arial"/>
          <w:sz w:val="17"/>
          <w:szCs w:val="17"/>
          <w:color w:val="auto"/>
        </w:rPr>
        <w:t>, at least every five years) to remain effective, but may</w:t>
      </w:r>
    </w:p>
    <w:p>
      <w:pPr>
        <w:ind w:left="120"/>
        <w:spacing w:after="0"/>
        <w:rPr>
          <w:sz w:val="20"/>
          <w:szCs w:val="20"/>
          <w:color w:val="auto"/>
        </w:rPr>
      </w:pPr>
      <w:r>
        <w:rPr>
          <w:rFonts w:ascii="Arial" w:cs="Arial" w:eastAsia="Arial" w:hAnsi="Arial"/>
          <w:sz w:val="18"/>
          <w:szCs w:val="18"/>
          <w:color w:val="auto"/>
        </w:rPr>
        <w:t>be sought more frequently for additional five-year terms (or any shorter period).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Share Capital</w:t>
      </w:r>
    </w:p>
    <w:p>
      <w:pPr>
        <w:spacing w:after="0" w:line="121"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On December 8, 2019, all ordinary shares of £1.00 each in the capital of Arm Limited were sub-divided into ordinary shares of £0.001 each, resulting in our outstanding ordinary shares changing from 1,025,234 ordinary shares of £1.00 each to 1,025,234,000 ordinary shares of £0.001 each.</w:t>
      </w:r>
    </w:p>
    <w:p>
      <w:pPr>
        <w:spacing w:after="0" w:line="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part of our corporate reorganization:</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180"/>
              <w:spacing w:after="0"/>
              <w:rPr>
                <w:sz w:val="20"/>
                <w:szCs w:val="20"/>
                <w:color w:val="auto"/>
              </w:rPr>
            </w:pPr>
            <w:r>
              <w:rPr>
                <w:rFonts w:ascii="Arial" w:cs="Arial" w:eastAsia="Arial" w:hAnsi="Arial"/>
                <w:sz w:val="18"/>
                <w:szCs w:val="18"/>
                <w:color w:val="auto"/>
              </w:rPr>
              <w:t>on</w:t>
            </w:r>
          </w:p>
        </w:tc>
        <w:tc>
          <w:tcPr>
            <w:tcW w:w="9440" w:type="dxa"/>
            <w:vAlign w:val="bottom"/>
            <w:gridSpan w:val="6"/>
          </w:tcPr>
          <w:p>
            <w:pPr>
              <w:jc w:val="right"/>
              <w:spacing w:after="0"/>
              <w:rPr>
                <w:sz w:val="20"/>
                <w:szCs w:val="20"/>
                <w:color w:val="auto"/>
              </w:rPr>
            </w:pPr>
            <w:r>
              <w:rPr>
                <w:rFonts w:ascii="Arial" w:cs="Arial" w:eastAsia="Arial" w:hAnsi="Arial"/>
                <w:sz w:val="18"/>
                <w:szCs w:val="18"/>
                <w:color w:val="auto"/>
                <w:w w:val="93"/>
              </w:rPr>
              <w:t>, 2023, all ordinary shares of £1.00 each in the capital of Arm Holdings Limited were sub-divided into ordinary shares of £0.001</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2"/>
              </w:rPr>
              <w:t>each, resulting in its outstanding ordinary shares changing from 100 ordinary shares of £1.00 each to 100,000 ordinary shares of £0.001</w:t>
            </w:r>
          </w:p>
        </w:tc>
      </w:tr>
      <w:tr>
        <w:trPr>
          <w:trHeight w:val="230"/>
        </w:trPr>
        <w:tc>
          <w:tcPr>
            <w:tcW w:w="24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each;</w:t>
            </w:r>
          </w:p>
        </w:tc>
        <w:tc>
          <w:tcPr>
            <w:tcW w:w="3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340" w:type="dxa"/>
            <w:vAlign w:val="bottom"/>
            <w:gridSpan w:val="3"/>
          </w:tcPr>
          <w:p>
            <w:pPr>
              <w:ind w:left="180"/>
              <w:spacing w:after="0"/>
              <w:rPr>
                <w:sz w:val="20"/>
                <w:szCs w:val="20"/>
                <w:color w:val="auto"/>
              </w:rPr>
            </w:pPr>
            <w:r>
              <w:rPr>
                <w:rFonts w:ascii="Arial" w:cs="Arial" w:eastAsia="Arial" w:hAnsi="Arial"/>
                <w:sz w:val="18"/>
                <w:szCs w:val="18"/>
                <w:color w:val="auto"/>
                <w:w w:val="99"/>
              </w:rPr>
              <w:t>following the completion of the sub-division referred to above, on</w:t>
            </w:r>
          </w:p>
        </w:tc>
        <w:tc>
          <w:tcPr>
            <w:tcW w:w="4860" w:type="dxa"/>
            <w:vAlign w:val="bottom"/>
            <w:gridSpan w:val="4"/>
          </w:tcPr>
          <w:p>
            <w:pPr>
              <w:jc w:val="right"/>
              <w:spacing w:after="0"/>
              <w:rPr>
                <w:sz w:val="20"/>
                <w:szCs w:val="20"/>
                <w:color w:val="auto"/>
              </w:rPr>
            </w:pPr>
            <w:r>
              <w:rPr>
                <w:rFonts w:ascii="Arial" w:cs="Arial" w:eastAsia="Arial" w:hAnsi="Arial"/>
                <w:sz w:val="18"/>
                <w:szCs w:val="18"/>
                <w:color w:val="auto"/>
                <w:w w:val="93"/>
              </w:rPr>
              <w:t>, 2023, 768,953,990 ordinary shares of £0.001 each in the capital</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4"/>
              </w:rPr>
              <w:t>of Arm Holdings Limited were issued to Kronos II LLC and 256,180,010 ordinary shares of £0.001 each in the capital of Arm Holdings</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6"/>
              </w:rPr>
              <w:t>Limited were issued to SVF HoldCo (UK) Limited in exchange for the transfer of 769,029,000 ordinary shares of £0.001 each in the</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capital of Arm Limited and 256,205,000 ordinary shares of £0.001 each in the capital of Arm Limited by Kronos II LLC and SVF HoldCo</w:t>
            </w:r>
          </w:p>
        </w:tc>
      </w:tr>
      <w:tr>
        <w:trPr>
          <w:trHeight w:val="230"/>
        </w:trPr>
        <w:tc>
          <w:tcPr>
            <w:tcW w:w="24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(UK) Limited, respectively;</w:t>
            </w: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340" w:type="dxa"/>
            <w:vAlign w:val="bottom"/>
            <w:gridSpan w:val="3"/>
          </w:tcPr>
          <w:p>
            <w:pPr>
              <w:ind w:left="180"/>
              <w:spacing w:after="0"/>
              <w:rPr>
                <w:sz w:val="20"/>
                <w:szCs w:val="20"/>
                <w:color w:val="auto"/>
              </w:rPr>
            </w:pPr>
            <w:r>
              <w:rPr>
                <w:rFonts w:ascii="Arial" w:cs="Arial" w:eastAsia="Arial" w:hAnsi="Arial"/>
                <w:sz w:val="18"/>
                <w:szCs w:val="18"/>
                <w:color w:val="auto"/>
                <w:w w:val="93"/>
              </w:rPr>
              <w:t>following the completion of the share exchange referred to above, on</w:t>
            </w:r>
          </w:p>
        </w:tc>
        <w:tc>
          <w:tcPr>
            <w:tcW w:w="3780" w:type="dxa"/>
            <w:vAlign w:val="bottom"/>
            <w:gridSpan w:val="3"/>
          </w:tcPr>
          <w:p>
            <w:pPr>
              <w:ind w:left="400"/>
              <w:spacing w:after="0"/>
              <w:rPr>
                <w:sz w:val="20"/>
                <w:szCs w:val="20"/>
                <w:color w:val="auto"/>
              </w:rPr>
            </w:pPr>
            <w:r>
              <w:rPr>
                <w:rFonts w:ascii="Arial" w:cs="Arial" w:eastAsia="Arial" w:hAnsi="Arial"/>
                <w:sz w:val="18"/>
                <w:szCs w:val="18"/>
                <w:color w:val="auto"/>
              </w:rPr>
              <w:t>, 2023, a first bonus share issue of</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ordinary</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shares of £0.001 each in the capital of Arm Holdings Limited were issued to Kronos II LLC and SVF HoldCo (UK) Limited in proportion</w:t>
            </w:r>
          </w:p>
        </w:tc>
      </w:tr>
      <w:tr>
        <w:trPr>
          <w:trHeight w:val="230"/>
        </w:trPr>
        <w:tc>
          <w:tcPr>
            <w:tcW w:w="240" w:type="dxa"/>
            <w:vAlign w:val="bottom"/>
          </w:tcPr>
          <w:p>
            <w:pPr>
              <w:spacing w:after="0"/>
              <w:rPr>
                <w:sz w:val="20"/>
                <w:szCs w:val="20"/>
                <w:color w:val="auto"/>
              </w:rPr>
            </w:pPr>
          </w:p>
        </w:tc>
        <w:tc>
          <w:tcPr>
            <w:tcW w:w="9120" w:type="dxa"/>
            <w:vAlign w:val="bottom"/>
            <w:gridSpan w:val="6"/>
          </w:tcPr>
          <w:p>
            <w:pPr>
              <w:ind w:left="180"/>
              <w:spacing w:after="0"/>
              <w:rPr>
                <w:sz w:val="20"/>
                <w:szCs w:val="20"/>
                <w:color w:val="auto"/>
              </w:rPr>
            </w:pPr>
            <w:r>
              <w:rPr>
                <w:rFonts w:ascii="Arial" w:cs="Arial" w:eastAsia="Arial" w:hAnsi="Arial"/>
                <w:sz w:val="18"/>
                <w:szCs w:val="18"/>
                <w:color w:val="auto"/>
                <w:w w:val="93"/>
              </w:rPr>
              <w:t>to their shareholding in Arm Holdings Limited pursuant to a capitalization of the merger reserve of Arm Holdings Limited;</w:t>
            </w: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040" w:type="dxa"/>
            <w:vAlign w:val="bottom"/>
            <w:gridSpan w:val="4"/>
          </w:tcPr>
          <w:p>
            <w:pPr>
              <w:ind w:left="180"/>
              <w:spacing w:after="0"/>
              <w:rPr>
                <w:sz w:val="20"/>
                <w:szCs w:val="20"/>
                <w:color w:val="auto"/>
              </w:rPr>
            </w:pPr>
            <w:r>
              <w:rPr>
                <w:rFonts w:ascii="Arial" w:cs="Arial" w:eastAsia="Arial" w:hAnsi="Arial"/>
                <w:sz w:val="18"/>
                <w:szCs w:val="18"/>
                <w:color w:val="auto"/>
                <w:w w:val="97"/>
              </w:rPr>
              <w:t>following the completion of the first bonus share issue referred to above, on</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 2023,</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ordinary shares in the capital of Arm</w:t>
            </w:r>
          </w:p>
        </w:tc>
      </w:tr>
      <w:tr>
        <w:trPr>
          <w:trHeight w:val="230"/>
        </w:trPr>
        <w:tc>
          <w:tcPr>
            <w:tcW w:w="240" w:type="dxa"/>
            <w:vAlign w:val="bottom"/>
          </w:tcPr>
          <w:p>
            <w:pPr>
              <w:spacing w:after="0"/>
              <w:rPr>
                <w:sz w:val="20"/>
                <w:szCs w:val="20"/>
                <w:color w:val="auto"/>
              </w:rPr>
            </w:pPr>
          </w:p>
        </w:tc>
        <w:tc>
          <w:tcPr>
            <w:tcW w:w="9120" w:type="dxa"/>
            <w:vAlign w:val="bottom"/>
            <w:gridSpan w:val="6"/>
          </w:tcPr>
          <w:p>
            <w:pPr>
              <w:ind w:left="180"/>
              <w:spacing w:after="0"/>
              <w:rPr>
                <w:sz w:val="20"/>
                <w:szCs w:val="20"/>
                <w:color w:val="auto"/>
              </w:rPr>
            </w:pPr>
            <w:r>
              <w:rPr>
                <w:rFonts w:ascii="Arial" w:cs="Arial" w:eastAsia="Arial" w:hAnsi="Arial"/>
                <w:sz w:val="18"/>
                <w:szCs w:val="18"/>
                <w:color w:val="auto"/>
              </w:rPr>
              <w:t>Holdings Limited (being all of the first bonus share issue) were cancelled pursuant to a capital reduction;</w:t>
            </w: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w w:val="99"/>
              </w:rPr>
              <w:t>following the capital reduction referred to above, on</w:t>
            </w:r>
          </w:p>
        </w:tc>
        <w:tc>
          <w:tcPr>
            <w:tcW w:w="5920" w:type="dxa"/>
            <w:vAlign w:val="bottom"/>
            <w:gridSpan w:val="5"/>
          </w:tcPr>
          <w:p>
            <w:pPr>
              <w:jc w:val="right"/>
              <w:spacing w:after="0"/>
              <w:rPr>
                <w:sz w:val="20"/>
                <w:szCs w:val="20"/>
                <w:color w:val="auto"/>
              </w:rPr>
            </w:pPr>
            <w:r>
              <w:rPr>
                <w:rFonts w:ascii="Arial" w:cs="Arial" w:eastAsia="Arial" w:hAnsi="Arial"/>
                <w:sz w:val="18"/>
                <w:szCs w:val="18"/>
                <w:color w:val="auto"/>
                <w:w w:val="92"/>
              </w:rPr>
              <w:t>, 2023, a second bonus share issue of 1,025,234,000 ordinary shares of £0.001</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each in the capital of Arm Holdings Limited were issued to National City Nominees Limited as the nominee for Citibank, N.A.—London</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4"/>
              </w:rPr>
              <w:t>Branch pursuant to the direction of Kronos II LLC, and to National City Nominees Limited as the nominee for Citibank, N.A.—London</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Branch, pursuant to the direction of SVF HoldCo (UK) Limited, in proportion to the respective shareholdings of Kronos II LLC and SVF</w:t>
            </w:r>
          </w:p>
        </w:tc>
      </w:tr>
      <w:tr>
        <w:trPr>
          <w:trHeight w:val="230"/>
        </w:trPr>
        <w:tc>
          <w:tcPr>
            <w:tcW w:w="24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HoldCo (UK) Limited in Arm Holdings Limited; and</w:t>
            </w: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040" w:type="dxa"/>
            <w:vAlign w:val="bottom"/>
            <w:gridSpan w:val="4"/>
          </w:tcPr>
          <w:p>
            <w:pPr>
              <w:ind w:left="180"/>
              <w:spacing w:after="0"/>
              <w:rPr>
                <w:sz w:val="20"/>
                <w:szCs w:val="20"/>
                <w:color w:val="auto"/>
              </w:rPr>
            </w:pPr>
            <w:r>
              <w:rPr>
                <w:rFonts w:ascii="Arial" w:cs="Arial" w:eastAsia="Arial" w:hAnsi="Arial"/>
                <w:sz w:val="18"/>
                <w:szCs w:val="18"/>
                <w:color w:val="auto"/>
                <w:w w:val="92"/>
              </w:rPr>
              <w:t>following the completion of the second bonus share issue referred to above, on</w:t>
            </w:r>
          </w:p>
        </w:tc>
        <w:tc>
          <w:tcPr>
            <w:tcW w:w="4160" w:type="dxa"/>
            <w:vAlign w:val="bottom"/>
            <w:gridSpan w:val="3"/>
          </w:tcPr>
          <w:p>
            <w:pPr>
              <w:jc w:val="right"/>
              <w:ind w:right="230"/>
              <w:spacing w:after="0"/>
              <w:rPr>
                <w:sz w:val="20"/>
                <w:szCs w:val="20"/>
                <w:color w:val="auto"/>
              </w:rPr>
            </w:pPr>
            <w:r>
              <w:rPr>
                <w:rFonts w:ascii="Arial" w:cs="Arial" w:eastAsia="Arial" w:hAnsi="Arial"/>
                <w:sz w:val="18"/>
                <w:szCs w:val="18"/>
                <w:color w:val="auto"/>
              </w:rPr>
              <w:t>, 2023, all ordinary shares of £0.001 each in the</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2"/>
              </w:rPr>
              <w:t>capital of Arm Holdings Limited other than those issued pursuant to the second bonus issue were re-designated as deferred shares and</w:t>
            </w:r>
          </w:p>
        </w:tc>
      </w:tr>
      <w:tr>
        <w:trPr>
          <w:trHeight w:val="230"/>
        </w:trPr>
        <w:tc>
          <w:tcPr>
            <w:tcW w:w="240" w:type="dxa"/>
            <w:vAlign w:val="bottom"/>
          </w:tcPr>
          <w:p>
            <w:pPr>
              <w:spacing w:after="0"/>
              <w:rPr>
                <w:sz w:val="20"/>
                <w:szCs w:val="20"/>
                <w:color w:val="auto"/>
              </w:rPr>
            </w:pPr>
          </w:p>
        </w:tc>
        <w:tc>
          <w:tcPr>
            <w:tcW w:w="6040" w:type="dxa"/>
            <w:vAlign w:val="bottom"/>
            <w:gridSpan w:val="4"/>
          </w:tcPr>
          <w:p>
            <w:pPr>
              <w:ind w:left="180"/>
              <w:spacing w:after="0"/>
              <w:rPr>
                <w:sz w:val="20"/>
                <w:szCs w:val="20"/>
                <w:color w:val="auto"/>
              </w:rPr>
            </w:pPr>
            <w:r>
              <w:rPr>
                <w:rFonts w:ascii="Arial" w:cs="Arial" w:eastAsia="Arial" w:hAnsi="Arial"/>
                <w:sz w:val="18"/>
                <w:szCs w:val="18"/>
                <w:color w:val="auto"/>
                <w:w w:val="95"/>
              </w:rPr>
              <w:t>subsequently repurchased by Arm Holdings Limited and cancelled thereafter.</w:t>
            </w:r>
          </w:p>
        </w:tc>
        <w:tc>
          <w:tcPr>
            <w:tcW w:w="1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Articles will be effective subject to and conditional upon completion of this offering and listing of ADSs representing our ordinary shares on Nasdaq. A summary of the terms of the Articles is set out below. The summary below is not a complete copy of the terms of the Articles.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Articles contain, among other things, provisions to the following effect: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Objects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Articles contain no specific restrictions on our purpose and therefore, by virtue of section 31(1) of the Companies Act, our purpose is unrestricted.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Subject to any rights or restrictions attached to any shares from time to time, the general voting rights attaching to shares are as follows:</w:t>
      </w:r>
    </w:p>
    <w:p>
      <w:pPr>
        <w:spacing w:after="0" w:line="142" w:lineRule="exact"/>
        <w:rPr>
          <w:sz w:val="20"/>
          <w:szCs w:val="20"/>
          <w:color w:val="auto"/>
        </w:rPr>
      </w:pPr>
    </w:p>
    <w:p>
      <w:pPr>
        <w:jc w:val="both"/>
        <w:ind w:left="1080" w:right="260" w:hanging="424"/>
        <w:spacing w:after="0" w:line="311"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resolution put to the vote at a general meeting must be decided exclusively on a poll; on a poll, every shareholder who is present in person or by proxy or corporate representative shall have one vote for each share of which they are the holder. A shareholder entitled to more than one vote on a poll need not, if they vote, use all their votes or cast all the votes in the same way; and</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20" w:hanging="424"/>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two or more persons are joint holders of a share, then in voting on any question the vote of the senior who tenders a vote, whether in person or by proxy, shall be accepted to the exclusion of the votes of the other joint holders. For this purpose, seniority shall be determined by the order in which the names of the holders stand in the register of members.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Voting</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Unless the Board of Directors decides otherwise, no shareholder shall be entitled to vote at any general meeting or at any separate class meeting in respect of any share held by them unless all calls or other sums payable by them in respect of that share have been paid.</w:t>
      </w:r>
    </w:p>
    <w:p>
      <w:pPr>
        <w:spacing w:after="0" w:line="146"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their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may, subject to the provisions of the Companies Act and the Articles, by ordinary resolution of shareholders declare dividends out of profits available for distribution in accordance with the respective rights of shareholders, but no such dividend shall exceed the amount recommended by the Board of Directors.</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Board of Directors may from time to time pay shareholders such interim dividends as appears to the board to be justified by the profits available for distribution (including any dividends at a fixed rate).</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Board of Directors may retain all or part of any dividend or other sum payable on or in respect of a share on which the company has a lien in respect of which the Board of Directors are entitled to issue an enforcement notice. Sums so deducted can be used to pay amounts owing to the Company in respect of the shares.</w:t>
      </w:r>
    </w:p>
    <w:p>
      <w:pPr>
        <w:spacing w:after="0" w:line="184"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Subject to any special rights attaching to or the terms of issue of any share, no dividend or other moneys payable by us on or in respect of any share shall bear interest against us. Any dividend unclaimed after a period of 12 years from the date such dividend became due for payment shall be forfeited and shall revert to us.</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Board of Directors may, by ordinary resolution of the company, direct that payment of any dividend declared may be satisfied wholly or partly by the distribution of assets, including in particular of paid up shares or debentures of any other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Depositary Arrangements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Articles provide for depositary arrangements and allow for the operation of the deposit agreement with the depositary, as well to facilitate the acquisition of shares through ADRs, including a requirement to vote on poll.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the Articles that would have the effect of delaying, deferring or preventing a change of control.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Winding Up</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the Company is wound up, the liquidator may, with the authority of a special resolution and any other authority required by law, divide among the members in specie the whole or any part of the assets of the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Company. This applies whether the assets shall consist of property of one kind or different kinds. For this purpose, the liquidator may set such value as the liquidator considers fair on any asset or assets and may determine how to divide it between the members or different classes of members. The liquidator may, with the authority of a special resolution and any other authority required by the law, transfer all or any part of the assets to trustees on such trusts for the benefit of members as the liquidator decides. However, where the liquidator divides or transfers any assets in accordance with its powers under the Articles, no member shall be required to accept any asset in respect of which there is a liability.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All or any of the rights and restrictions attached to any class of shares issued may be varied or abrogated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and the terms of their issue. The Companies Act provides a right to object to the variation of the share capital by the shareholders who did not vote in favor of the variation. Should an aggregate of not less than 15% of the shareholders of the issued shares in question apply to the court to have the variation cancelled, the variation shall have no effect unless and until it is confirmed by the court.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Alteration of Share Capital</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We may redeem or purchase all or any of our shares as described in “—Other Relevant English Law Considerations—Purchase of Own Shares.”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Allotment of Shares and Preemption Rights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Subject to the Companies Act and to any rights attached to existing shares, any share may be issued with or have attached to it such rights and restrictions as we may by ordinary resolution determine, or if no ordinary resolution has been passed or so far as the resolution does not make specific provision, as our Board of Directors may determine (including shares which are to be redeemed, or are liable to be redeemed at our option or the holder of such shares).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accordance with section 551 of the Companies Act, the Board of Directors may be generally and unconditionally authorized to exercise for each prescribed period of up to five years all the powers of the Company to allot shares up to an aggregate nominal amount equal to the amount stated in the relevant ordinary resolution authorizing such allotment.</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provisions of section 561 of the Companies Act (which confer on shareholders rights of preemption in respect of the allotment of equity securities which are paid up in cash) apply to the Company except to the extent disapplied for a period of up to five years by special resolution of the shareholders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Lien and Forfeiture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 shall have a first and paramount lien on every share (not being a fully paid share) for all moneys payable to the Company (whether presently or not) in respect of that share. The Company may sell, in such manner as the Board of Directors determines, any share on which the Company has a lien if a sum in respect of which the lien exists is presently payable and is not paid within the due date for payment. Subject to the terms of the allotment, the board may from time to time make calls on the members in respect of any moneys unpaid on their shares.</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40" w:firstLine="440"/>
        <w:spacing w:after="0" w:line="275" w:lineRule="auto"/>
        <w:rPr>
          <w:sz w:val="20"/>
          <w:szCs w:val="20"/>
          <w:color w:val="auto"/>
        </w:rPr>
      </w:pPr>
      <w:r>
        <w:rPr>
          <w:rFonts w:ascii="Arial" w:cs="Arial" w:eastAsia="Arial" w:hAnsi="Arial"/>
          <w:sz w:val="17"/>
          <w:szCs w:val="17"/>
          <w:color w:val="auto"/>
        </w:rPr>
        <w:t>Each member shall (subject to receiving at least 14 clear days’ notice) pay to the Company the amount called on his or her shares. If a call or any installment of a call remains unpaid in whole or in part after it has become due and payable, the board may give the person from whom it is due not less than 14 clear days’ notice requiring payment of the amount unpaid together with any interest which may have accrued and any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Any shareholder holding shares in certificated form may transfer all or any of their shares by an instrument of transfer in any usual or common form or in any other manner which is permitted by the Companies Act and approved by the Board of Directors. Any written instrument of transfer must be signed by or on behalf of the transferor and, in the case of a share which is not fully paid up, the transferee.</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All transfers of uncertificated shares shall be made in accordance with and subject to the provisions of the Uncertificated Securities Regulations 2001 (the “Uncertificated Securities Rules”) and the facilities and requirements of its relevant system. The Uncertificated Securities Rules permit shares to be issued and held in uncertificated form and transferred by means of a computer-based system.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of Directors may, in its absolute discretion, decline to register any transfer of any share in certificated form unless:</w:t>
      </w:r>
    </w:p>
    <w:p>
      <w:pPr>
        <w:spacing w:after="0" w:line="131"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for a share which is fully paid 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for a share upon which the Company has no lien;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only for one class of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in favor of a single transferee or no more than four joint transferees;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duly stamped (if this is required);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lodged at our registered office or such other place as the Board of Directors may decide, accompanied by the certificate for shares to which it relates or such other evidence (if any) as the Board of Directors may reasonably require to prove the title of the transferor or, if the transfer is executed by some other person on their behalf, the authority of that person to do so.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accordance with the Companies Act,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as described in “—Differences in Corporate Law—Annual General Meeting” and “— Differences in Corporate Law—Notice of General Meetings” below.</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arrangements for the calling of general meetings are described in “—Differences in Corporate Law—Notice of General Meetings” below.</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of General Meetings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No business, other than the appointment of a chair, shall be transacted at any general meeting unless a quorum is present. A minimum of two shareholders present in person or by proxy and entitled to vote shall be a quorum for all purposes.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Meetings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provisions in the Articles relating to general meetings apply to every separate general meeting of the holders of a class of shares except that:</w:t>
      </w:r>
    </w:p>
    <w:p>
      <w:pPr>
        <w:spacing w:after="0" w:line="154" w:lineRule="exact"/>
        <w:rPr>
          <w:sz w:val="20"/>
          <w:szCs w:val="20"/>
          <w:color w:val="auto"/>
        </w:rPr>
      </w:pPr>
    </w:p>
    <w:p>
      <w:pPr>
        <w:ind w:left="1080" w:right="1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quorum for such class meeting shall be two holders in person or by proxy representing not less than one-third in nominal value of the issued shares of the class;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at any adjourned meeting of such holders a quorum is not present at the meeting, one holder of shares of the class present in person or by proxy at an adjourned meeting constitutes a quorum.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may not have fewer than two directors on the Board of Directors. We may, subject to the provisions of the Companies Act, by ordinary resolution of the shareholders, vary the minimum and/or impose a maximum number of directors from time to time.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Subject to the Articles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 provided the total number of directors shall not exceed any maximum number imposed in accordance with the Articles.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completion of this offering, our Board of Directors will consist of one class of directors constituting our entire board. If a director was appointed by the board, at the next annual general meeting after his or her appointment, he or she shall retire from office and be eligible for reappointment. Each director will retire at the annual general meeting held in the third calendar year following the year in which he or she was elected or last re-elected by the Company and, unless resolved otherwise by the Board of Directors prior to the date of the notice of such annual general meeting, be eligible for reappointment.</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Subject to the provisions of the Articles, the Board of Directors may regulate their proceedings as they deem appropriate. A director may, and the secretary at the request of a director shall, call a meeting of the directors.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quorum for a meeting of the Board of Directors may be determined by the board and until otherwise determined, it is set at two directors.</w:t>
      </w:r>
    </w:p>
    <w:p>
      <w:pPr>
        <w:spacing w:after="0" w:line="24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Questions and matters requiring resolution arising at a meeting shall be decided by a majority of votes of the participating directors, with each director having one vote. In the case of an equality of votes, the chair will have a casting vote or second vote, unless he or she is not entitled to vote on the resolution in question.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Interests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directors may authorize, to the fullest extent permitted by law, any matter or situation proposed to them which would otherwise result in a director infringing his or her duty to avoid a situation in which he or she has, or can have, a direct or indirect interest that conflicts, or possibly may conflict, with our interests. A director shall not, save as otherwise agreed by him or her, be accountable to us for any remuneration, profit or other benefit which he or she derives from any matter authorized by the directors or by the shareholders in general meeting and no contract shall be liable to be avoided on any such grounds.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authorization by our Board of Directors will be effective only if:</w:t>
      </w:r>
    </w:p>
    <w:p>
      <w:pPr>
        <w:spacing w:after="0" w:line="131" w:lineRule="exact"/>
        <w:rPr>
          <w:sz w:val="20"/>
          <w:szCs w:val="20"/>
          <w:color w:val="auto"/>
        </w:rPr>
      </w:pPr>
    </w:p>
    <w:p>
      <w:pPr>
        <w:ind w:left="1080" w:right="400" w:hanging="424"/>
        <w:spacing w:after="0" w:line="308"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the extent permitted by the Companies Act, the matter in question shall have been proposed by any director for consideration in the same way that any other matter may be proposed to the directors under the provisions of the Articles;</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3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requirement as to the quorum for consideration of the relevant matter is met without counting the conflicted director and any other interested director;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matter is agreed to without the interested director voting or would be agreed to if the interested director’s and any other interested director’s votes are not counted.</w:t>
      </w:r>
    </w:p>
    <w:p>
      <w:pPr>
        <w:spacing w:after="0" w:line="170"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Subject to the requirements under sections 175, 177 and 182 of the Companies Act, a director who is any way, whether directly or indirectly, interested in a proposed or existing transaction or arrangement with us shall declare the nature of his or her interest at a meeting of the directors.</w:t>
      </w:r>
    </w:p>
    <w:p>
      <w:pPr>
        <w:spacing w:after="0" w:line="12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Subject to the Articles, a director shall not vote in respect of any transactions or, arrangement with the Company in which he or she has an interest and which may reasonably be regarded as likely to give rise to a conflict of interest. A director shall not be counted in the quorum at a meeting in relation to any resolution on which he or she is debarred from voting.</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Under the Articles, certain transactions which would otherwise give rise to a conflict are considered to be permitted interests of our directors. In the event that these permitted interests arise, the director in question will still count towards the quorum requirements of the relevant meeting and be entitled to vote on resolutions relating to such permitted interests, as follows:</w:t>
      </w:r>
    </w:p>
    <w:p>
      <w:pPr>
        <w:spacing w:after="0" w:line="89" w:lineRule="exact"/>
        <w:rPr>
          <w:sz w:val="20"/>
          <w:szCs w:val="20"/>
          <w:color w:val="auto"/>
        </w:rPr>
      </w:pPr>
    </w:p>
    <w:p>
      <w:pPr>
        <w:ind w:left="1080" w:right="3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contract, transaction or arrangement or any other proposal in which he or she has an interest but of which he or she is not aware or which cannot reasonably be regarded as likely to give rise to a conflict of interest;</w:t>
      </w:r>
    </w:p>
    <w:p>
      <w:pPr>
        <w:spacing w:after="0" w:line="75"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contract, transaction or arrangement or any other proposal in which he or she has an interest only by virtue of interests in shares, debentures or other securities of the Company, or by reason of any other interest in or through the Company;</w:t>
      </w:r>
    </w:p>
    <w:p>
      <w:pPr>
        <w:spacing w:after="0" w:line="51"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giving of any guarantee, security or indemnity in respect of money lent or obligations incurred by him or her or by any other person at the request of or for the benefit of our company or any of our subsidiary undertakings;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giving of any guarantee, security or indemnity in respect of a debt or obligation of our company or any of our subsidiary undertakings for which the director themselves has assumed responsibility in whole or in part under a guarantee or indemnity or by the giving of security;</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proposal or contract relating to an offer of shares or debentures or other securities of or by our company or any of our subsidiary undertakings in which offer he or she is or may be entitled to participate as a holder of securities or in the underwriting or sub-underwriting of which he or she is to participate;</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arrangement involving any other body corporate in which the director (directly or indirectly) is interested, including as an officer, shareholder, creditor, employee or otherwise, provided that he or she (together with the persons connected with him or her) is not the holder of, or beneficially interested in, one percent. or more of any issued equity share capital of any class of such body corporate or of the voting rights available to members of that relevant body corporate;</w:t>
      </w:r>
    </w:p>
    <w:p>
      <w:pPr>
        <w:spacing w:after="0" w:line="92"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arrangement for the benefit of employees or former employees of our company or any of our subsidiary undertakings which does not award him or her any privilege or benefit not generally awarded to employees or former employees to whom the arrangement relates;</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contract relating to purchase or maintenance by our company of insurance for any liability for the benefit of directors or for the benefit of a group of people which includes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arrangement concerning the giving of indemnities in favor of directors;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concerning the funding of expenditure by any directors on (i) defending criminal, civil or regulatory proceedings or action against them, (ii) in connection with an application to the court for relief,</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100" w:firstLine="1"/>
        <w:spacing w:after="0" w:line="277" w:lineRule="auto"/>
        <w:tabs>
          <w:tab w:leader="none" w:pos="141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defending them in any regulatory investigations, or (iv) anything that would enable the director to avoid incurring expenditure for the matters listed at (i)—(iii) hereof; and</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arrangements in relation to which a director’s interest, or the interest of directors generally, have been authorized by ordinary resolution.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Fees and Remuneration</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ordinary remuneration of the directors (which may take the form of cash, securities in the Company, or such other form as the Board of Directors decide) shall from time to time be determined by the Board of Directors, provided that the aggregate of all such fees so paid to directors shall</w:t>
      </w:r>
    </w:p>
    <w:p>
      <w:pPr>
        <w:ind w:left="120" w:right="60"/>
        <w:spacing w:after="0" w:line="255" w:lineRule="auto"/>
        <w:rPr>
          <w:sz w:val="20"/>
          <w:szCs w:val="20"/>
          <w:color w:val="auto"/>
        </w:rPr>
      </w:pPr>
      <w:r>
        <w:rPr>
          <w:rFonts w:ascii="Arial" w:cs="Arial" w:eastAsia="Arial" w:hAnsi="Arial"/>
          <w:sz w:val="18"/>
          <w:szCs w:val="18"/>
          <w:color w:val="auto"/>
        </w:rPr>
        <w:t>not exceed £ per annum, or such higher amount as may from time to time be determined by ordinary resolution of the shareholders. A director’s remuneration may also include the payment of gratuities, allowances, pension or other retirement benefits, superannuation or death or disability benefits to such director.</w:t>
      </w:r>
    </w:p>
    <w:p>
      <w:pPr>
        <w:spacing w:after="0" w:line="19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director who is appointed to any executive office (which, for this purpose, includes the chair or any deputy chair), who serves on any committee or who devotes special attention to the business of our company, or who otherwise performs services which in the opinion of the directors are outside the scope of the ordinary duties of a director, may be paid such extra remuneration by way of salary, commissions, participation in profits or otherwise as the Board of Directors may determine.</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Each director may be paid his or her reasonable expenses incurred for attending and returning from meetings of the board, committees of the board, general meetings, separate meetings of the holders of any class of shares or of debentures, or otherwise in connection with the business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Articles and the Companies Act, the Board of Directors may exercise all the powers to borrow money, provide any indemnity or guarantee, mortgage or charge our undertaking, property and uncalled capital, issue debentures and other securities and to give security, whether outright or as collateral security for any debt, liability or obligation of us or of any third party.</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directors must ensure that the aggregate amount remaining outstanding for all moneys borrowed by the Company and our subsidiaries and for the time being owing to third parties less the aggregate amount of current asset investments will not (without the prior sanction of an ordinary resolution) exceed an amount equal to two times adjusted capital and reserves.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Capitalization of Profits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directors may, if they are so authorized by an ordinary resolution of the shareholders, decide to capitalize any undistributed profits of the Company not required for paying any preferential dividend, or any sum standing to the credit of the Company’s share premium account, capital redemption reserve or other undistributable reserve. To the extent a capitalized sum is appropriated from profits available for distribution it may also be applied in or towards paying up any amounts unpaid on existing shares held by the entitled members, or in paying up new debentures of the Company which are allotted credited as fully paid to the entitled members (or a combination of the two).</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Indemnity</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Subject to the provisions of the Companies Act, every director or other officer of our group may be indemnified against all costs, charges, expenses, losses and liabilities sustained or incurred by them in connection with that director’s or officer’s duties or powers in relation to the Company or other members of our group. See also “Indemnification of Directors and Officers” in Part II below.</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English Law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Application of the U.K. City Code on Takeovers and Mergers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Following re-registration as a public limited company with its registered office in the U.K., we expect that the Company will be subject to the Takeover Code. The Takeover Code provides a framework within which takeovers of companies are regulated and conducted, meaning that our shareholders will be entitled to benefit from certain takeover offer protections provided in the Takeover Code, including the rules regarding mandatory takeover bids (a summary of which is set out below).</w:t>
      </w:r>
    </w:p>
    <w:p>
      <w:pPr>
        <w:spacing w:after="0" w:line="92" w:lineRule="exact"/>
        <w:rPr>
          <w:sz w:val="20"/>
          <w:szCs w:val="20"/>
          <w:color w:val="auto"/>
        </w:rPr>
      </w:pPr>
    </w:p>
    <w:p>
      <w:pPr>
        <w:ind w:left="1080" w:hanging="424"/>
        <w:spacing w:after="0" w:line="272"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Under Rule 9 of the Takeover Code, when any person acquires, whether by a series of transactions over a period of time or not, an interest in shares of the Company which, taken together with shares in which such person is already interested, and in which persons acting in concert with such person are interested, carry 30% or more of the voting rights in the Company, such person and, depending upon the circumstances, persons acting in concert with such person shall, except in limited circumstances, be obliged to extend offers, on the basis set out in Rules 9.3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8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offer must be in cash (or accompanied by a cash alternative) at not less than the highest price paid for any interest in the shares by the person required to make an offer or any person acting in concert with such person during the 12 months prior to the announcement of the offer.</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similar obligation to make such a cash offer also arises when any person that (together with any persons acting in concert) is already interested in shares which in the aggregate carry 30% or more of the voting rights of the Company but does not hold shares which carry more than 50% of such voting rights acquires an interest in any other shares of the Company which increase the percentage of shares carrying voting rights in which such person is interested.</w:t>
      </w:r>
    </w:p>
    <w:p>
      <w:pPr>
        <w:spacing w:after="0" w:line="92"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Under the Takeover Code, “persons acting in concert” comprise persons who, pursuant to an agreement or understanding (whether formal or informal and whether or not in writing) co-operate to obtain or consolidate control of a company or to frustrate the successful outcome of an offer for a company and “control” means an interest or interests, in shares carrying in the aggregate 30% or more of the voting rights of a company, irrespective of whether the holding or holdings give de facto control.</w:t>
      </w:r>
    </w:p>
    <w:p>
      <w:pPr>
        <w:spacing w:after="0" w:line="17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For so long as SoftBank holds shares carrying more than 50% of the voting rights of the Company following completion of the offering, the rules relating to mandatory bids under the Takeover Code will not apply to any acquisitions of shares made by SoftBank or its concert parties.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Squeeze-out provisions</w:t>
      </w:r>
    </w:p>
    <w:p>
      <w:pPr>
        <w:spacing w:after="0" w:line="117"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Under sections 979 to 982 of the Companies Act, where a takeover offer has been made for us and the offeror has acquired, or unconditionally contracted to acquire, not less than 90% in value of the shares to which the offer relates and not less than 90% of the voting rights carried by those shares, it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(being an offer subject to the Takeover Code), the period of six months beginning with the date of the offer.</w:t>
      </w:r>
    </w:p>
    <w:p>
      <w:pPr>
        <w:spacing w:after="0" w:line="16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squeeze-out of the minority shareholders can be completed at the end of six weeks from the date the notice has been given, at which time the offeror must send a copy of the notice to the company together with an instrument of transfer executed on behalf of the outstanding shareholder(s) by a person appointed by the offeror of the shares to which the notice relates, and pay the consideration to us to be held in trust for the outstanding</w:t>
      </w:r>
    </w:p>
    <w:p>
      <w:pPr>
        <w:spacing w:after="0" w:line="8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40"/>
          </w:cols>
          <w:pgMar w:left="320" w:top="459" w:right="5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minority shareholders. The consideration offered to the members whose shares are compulsorily acquired under this procedure must, in general, be the same as the consideration that was available under the original offer. A dissenting shareholder may object to the transfer on the basis that the offeror is not entitled and bound to acquire shares or to specify terms of acquisition different from those in the offer by applying to court within six weeks of the date on which notice of the transfer was given.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 Out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Sections 983 to 985 of the Companies Act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their shares if, prior to the expiration of the acceptance period for such offer, (a) the offeror has acquired or unconditionally agreed to acquire not less than 90% in value of all of our shares; and (b) not less than 90% of the voting rights carried by those shares. The offeror is required to give any shareholder notice of his right to be bought out within one month of that right arising. The offeror may impose a time limit on the rights of minority shareholders to be bought out that is not less than three months after the end of the acceptance period, or if longer a period of three months from the date of the notice. If a shareholder exercises their rights to be bought out, the offeror is required to acquire those shares on the terms of the offer or on such other terms as may be agreed.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Interest in Shares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Pursuant to Part 22 of the Companies Act and the Articles, we are empowered by notice in writing to require any person whom we know or have reasonable cause to believe to be interested in our shares, or at any time during the three years immediately preceding the date on which the notice is issued has been so interested, within a reasonable time to disclose to us details of that person’s interest and (so far as is within his or her knowledge) details of any other interest that subsists or subsisted in those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Articles, if a person defaults in supplying us with the required disclosures in relation to the shares in question (the “default shares”)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prescribed period of 14 days, our directors may by notice direct that:</w:t>
      </w:r>
    </w:p>
    <w:p>
      <w:pPr>
        <w:spacing w:after="0" w:line="116" w:lineRule="exact"/>
        <w:rPr>
          <w:sz w:val="20"/>
          <w:szCs w:val="20"/>
          <w:color w:val="auto"/>
        </w:rPr>
      </w:pPr>
    </w:p>
    <w:p>
      <w:pPr>
        <w:ind w:left="1080" w:right="32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respect of the default shares and any other shares held by such person, the relevant shareholder shall not be entitled to vote (either in person or by representative or proxy) at any general meeting or to exercise any other right conferred by a shareholding in relation to general meetings; and</w:t>
      </w:r>
    </w:p>
    <w:p>
      <w:pPr>
        <w:spacing w:after="0" w:line="89"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where the default shares represent at least 0.25% in nominal value of the issued shares of their class, (a) any dividend or other money payable in respect of the default shares shall be retained by us without liability to pay interest and/or (b) no transfers by the relevant shareholder of any shares may be registered (unless the shareholder himself or herself is not in default and the shareholder provides a certificate, in a form satisfactory to the directors, to the effect that after due and careful enquiry the shareholder is satisfied that none of the shares to be transferred are default shares), provided that, where shares are uncertificated, any refusal to transfer such shares can only be made in accordance with and subject to the provisions of the Uncertificated Securities Rules.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of Own Shares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the laws of England and Wales, a public limited company may purchase its own shares out of the distributable profits of the company or the proceeds of a fresh issue of shares made for the purpose of financing the purchase, subject to complying with procedural requirements under the Companies Act (including that the purchase be approved by the company’s shareholders) and provided that the Articles do not restrict the company’s ability to purchase its own shares. Our Articles will not prohibit us from purchasing our own shares. Therefore, subject to the Companies Act and without prejudice to any relevant special rights attached to any class of shares, the Company may purchase any of its own shares of any class in any way and at any price (whether at par or above or below par). A limited company may not purchase its own shares if, as a result of the purchase,</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there would no longer be any issued shares of the company other than redeemable shares or shares held as treasury shares. Shares must be fully paid in order to be repurchased.</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Any such purchase will be either a “market purchase” or an “off market purchase,” each as defined in the Companies Act. A “market purchase” is a purchase made on a “recognized investment exchange” (other than an overseas exchange) as defined in the U.K. Financial Services and Markets Act 2000, as amended (the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 Both resolutions authorizing “market purchases” and “off-market purchases” must specify a date, not later than five years after the passing of the resolution, on which the authority to purchase is to expire.</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 share buy-back by a company of its shares will give rise to U.K. stamp duty (and may give rise to stamp duty reserve tax) at the rate of 0.5% of the amount or value of the consideration payable by the company (rounded up to the next £5.00), and such stamp duty (or stamp duty reserve tax) will be paid by the company. The charge to stamp duty reserve tax will be cancelled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pacing w:after="0" w:line="188"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The Nasdaq Global Select Market is an “overseas exchange” for the purposes of the Companies Act and accordingly does not fall within the definition of a “recognized investment exchange” for the purposes of the FSMA, as modified by the Companies Act, and any purchase made by us would need to comply with the procedural requirements under the Companies Act that regulate “off market purchases.”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and Dividends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the laws of England and Wales.</w:t>
      </w:r>
    </w:p>
    <w:p>
      <w:pPr>
        <w:spacing w:after="0" w:line="176"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89" w:lineRule="exact"/>
        <w:rPr>
          <w:sz w:val="20"/>
          <w:szCs w:val="20"/>
          <w:color w:val="auto"/>
        </w:rPr>
      </w:pPr>
    </w:p>
    <w:p>
      <w:pPr>
        <w:ind w:left="1080" w:right="6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its net assets to less than that total.</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Certain rights granted under the Companies Act, including the right to requisition a general meeting or require a resolution to be put to shareholders at the annual general meeting, are only available to our</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40"/>
        <w:spacing w:after="0" w:line="301" w:lineRule="auto"/>
        <w:rPr>
          <w:sz w:val="20"/>
          <w:szCs w:val="20"/>
          <w:color w:val="auto"/>
        </w:rPr>
      </w:pPr>
      <w:r>
        <w:rPr>
          <w:rFonts w:ascii="Arial" w:cs="Arial" w:eastAsia="Arial" w:hAnsi="Arial"/>
          <w:sz w:val="16"/>
          <w:szCs w:val="16"/>
          <w:color w:val="auto"/>
        </w:rPr>
        <w:t>shareholders. For English law purposes, our shareholders are the persons who are registered as the owners of the legal title to the shares and whose names are recorded in our share register. If a person who holds their ADSs in Citibank wishes to exercise certain of the rights granted under the Companies Act, they may be required to first take steps to withdraw their ADSs from the settlement system operated by Citibank and become the registered holder of the shares in our share register. A withdrawal of shares from Citibank may have tax implications.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Requisitioning Shareholder Meetings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any shareholder requests, in accordance with the provisions of the Companies Act, us to (a) call a general meeting for the purposes of bringing a resolution before the meeting, or (b) give notice of a resolution to be proposed at a general meeting, such request must among other things (in addition to any other statutory requirements):</w:t>
      </w:r>
    </w:p>
    <w:p>
      <w:pPr>
        <w:spacing w:after="0" w:line="89" w:lineRule="exact"/>
        <w:rPr>
          <w:sz w:val="20"/>
          <w:szCs w:val="20"/>
          <w:color w:val="auto"/>
        </w:rPr>
      </w:pPr>
    </w:p>
    <w:p>
      <w:pPr>
        <w:ind w:left="1080" w:right="520" w:hanging="424"/>
        <w:spacing w:after="0" w:line="34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set forth the name and address of the requesting person and equivalent details of any person associated with it or him (in the manner contemplated by the Articles), together with details of all interests held by such person (and their associated persons) in us;</w:t>
      </w:r>
    </w:p>
    <w:p>
      <w:pPr>
        <w:spacing w:after="0" w:line="29" w:lineRule="exact"/>
        <w:rPr>
          <w:rFonts w:ascii="Arial" w:cs="Arial" w:eastAsia="Arial" w:hAnsi="Arial"/>
          <w:sz w:val="16"/>
          <w:szCs w:val="16"/>
          <w:color w:val="auto"/>
        </w:rPr>
      </w:pPr>
    </w:p>
    <w:p>
      <w:pPr>
        <w:jc w:val="both"/>
        <w:ind w:left="1080" w:right="80" w:hanging="424"/>
        <w:spacing w:after="0" w:line="31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request relates to any business the member proposes to bring before the meeting, set forth a brief description of the business desired to be brought before the meeting, the reasons for conducting such business at the meeting, the text of the proposal (including the complete text of any proposed resolutions) and, in the case of any proposal to amend the Articles, the complete text of the proposed amendment;</w:t>
      </w:r>
    </w:p>
    <w:p>
      <w:pPr>
        <w:spacing w:after="0" w:line="54" w:lineRule="exact"/>
        <w:rPr>
          <w:rFonts w:ascii="Arial" w:cs="Arial" w:eastAsia="Arial" w:hAnsi="Arial"/>
          <w:sz w:val="16"/>
          <w:szCs w:val="16"/>
          <w:color w:val="auto"/>
        </w:rPr>
      </w:pPr>
    </w:p>
    <w:p>
      <w:pPr>
        <w:jc w:val="both"/>
        <w:ind w:left="1080" w:right="100" w:hanging="424"/>
        <w:spacing w:after="0" w:line="286"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set forth, as to each person (if any) whom the shareholder proposes to nominate for appointment to the Board of Directors, all information that would be required to be disclosed by us in connection with the election of directors, and such other information as we may require to determine the eligibility of such proposed nominee for appointment to the Board of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Controls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There are no governmental laws, decrees, regulations or other legislation in the U.K. that may affect the import or export of capital, including the availability of cash and cash equivalents for use by us, or that may affect the remittance of dividends, interest, or other payments by us to non-resident holders of our ordinary shares or ADSs representing our ordinary shares, other than withholding tax requirements. There is no limitation imposed by the laws of England and Wales or in the Articles on the right of non-residents to hold or vote shares.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 protections. This summary is not intended to be a complete discussion of the respective rights and it is qualified in its entirety by reference to Delaware law and the laws of England and Wales.</w:t>
      </w:r>
    </w:p>
    <w:p>
      <w:pPr>
        <w:sectPr>
          <w:pgSz w:w="11900" w:h="16838" w:orient="portrait"/>
          <w:cols w:equalWidth="0" w:num="1">
            <w:col w:w="11120"/>
          </w:cols>
          <w:pgMar w:left="320" w:top="459" w:right="459" w:bottom="1440" w:gutter="0" w:footer="0" w:header="0"/>
        </w:sectPr>
      </w:pP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England and Wales</w:t>
      </w:r>
    </w:p>
    <w:p>
      <w:pPr>
        <w:spacing w:after="0" w:line="12"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Number of Directors</w:t>
      </w:r>
      <w:r>
        <w:rPr>
          <w:sz w:val="20"/>
          <w:szCs w:val="20"/>
          <w:color w:val="auto"/>
        </w:rPr>
        <w:tab/>
      </w:r>
      <w:r>
        <w:rPr>
          <w:rFonts w:ascii="Arial" w:cs="Arial" w:eastAsia="Arial" w:hAnsi="Arial"/>
          <w:sz w:val="16"/>
          <w:szCs w:val="16"/>
          <w:color w:val="auto"/>
        </w:rPr>
        <w:t>Under the Companies Act, a public limited company</w:t>
      </w:r>
    </w:p>
    <w:p>
      <w:pPr>
        <w:spacing w:after="0" w:line="7" w:lineRule="exact"/>
        <w:rPr>
          <w:sz w:val="20"/>
          <w:szCs w:val="20"/>
          <w:color w:val="auto"/>
        </w:rPr>
      </w:pPr>
    </w:p>
    <w:p>
      <w:pPr>
        <w:ind w:left="3120"/>
        <w:spacing w:after="0" w:line="255" w:lineRule="auto"/>
        <w:rPr>
          <w:sz w:val="20"/>
          <w:szCs w:val="20"/>
          <w:color w:val="auto"/>
        </w:rPr>
      </w:pPr>
      <w:r>
        <w:rPr>
          <w:rFonts w:ascii="Arial" w:cs="Arial" w:eastAsia="Arial" w:hAnsi="Arial"/>
          <w:sz w:val="18"/>
          <w:szCs w:val="18"/>
          <w:color w:val="auto"/>
        </w:rPr>
        <w:t>must have at least two directors and the number of directors may be fixed by or in the manner provided in the company’s articles of association.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1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bylaws, unless the certificate of incorporation fixes the number of directors, in which case a change in the number of directors may be made only by amendment of the certificate of incorporation.</w:t>
      </w:r>
    </w:p>
    <w:p>
      <w:pPr>
        <w:sectPr>
          <w:pgSz w:w="11900" w:h="16838" w:orient="portrait"/>
          <w:cols w:equalWidth="0" w:num="2">
            <w:col w:w="7060" w:space="120"/>
            <w:col w:w="3940"/>
          </w:cols>
          <w:pgMar w:left="320" w:top="459" w:right="45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00"/>
          </w:cols>
          <w:pgMar w:left="320" w:top="459" w:right="479" w:bottom="1440" w:gutter="0" w:footer="0" w:header="0"/>
        </w:sectPr>
      </w:pP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Vacancies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Annual General Meeting</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Companies Act, shareholders may remove a director 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must also be followed, such as allowing the director to make representations against his or her removal either at the meeting or in writing.</w:t>
      </w:r>
    </w:p>
    <w:p>
      <w:pPr>
        <w:spacing w:after="0" w:line="2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Companies Act, a public limited company must hold an annual general meeting in each six-month period following its annual accounting reference date.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stockholders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68"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4" w:hanging="4"/>
        <w:spacing w:after="0" w:line="288" w:lineRule="auto"/>
        <w:tabs>
          <w:tab w:leader="none" w:pos="248" w:val="left"/>
        </w:tabs>
        <w:numPr>
          <w:ilvl w:val="0"/>
          <w:numId w:val="84"/>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bylaws of the corporation; or (b) the certificate of incorporation directs that a particular class of stock or series thereof is to elect such director, in which case a majority of the other directors elected by such class or series, or a sole remaining director elected by such class or series, will fill such vacancy.</w:t>
      </w:r>
    </w:p>
    <w:p>
      <w:pPr>
        <w:spacing w:after="0" w:line="60" w:lineRule="exact"/>
        <w:rPr>
          <w:sz w:val="20"/>
          <w:szCs w:val="20"/>
          <w:color w:val="auto"/>
        </w:rPr>
      </w:pPr>
    </w:p>
    <w:p>
      <w:pPr>
        <w:ind w:left="4" w:right="100"/>
        <w:spacing w:after="0" w:line="296"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3" w:lineRule="exact"/>
        <w:rPr>
          <w:sz w:val="20"/>
          <w:szCs w:val="20"/>
          <w:color w:val="auto"/>
        </w:rPr>
      </w:pPr>
    </w:p>
    <w:p>
      <w:pPr>
        <w:sectPr>
          <w:pgSz w:w="11900" w:h="16838" w:orient="portrait"/>
          <w:cols w:equalWidth="0" w:num="3">
            <w:col w:w="2400" w:space="720"/>
            <w:col w:w="3940" w:space="116"/>
            <w:col w:w="3924"/>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i w:val="1"/>
          <w:iCs w:val="1"/>
          <w:color w:val="auto"/>
        </w:rPr>
        <w:t>General Meeting</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Under the Companies Act, a general meeting of the shareholders of a public limited company may be called by the directors.</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Shareholders holding at least 5% of the paid-up capital of the company</w:t>
      </w:r>
    </w:p>
    <w:p>
      <w:pPr>
        <w:spacing w:after="0" w:line="20" w:lineRule="exact"/>
        <w:rPr>
          <w:sz w:val="20"/>
          <w:szCs w:val="20"/>
          <w:color w:val="auto"/>
        </w:rPr>
      </w:pPr>
      <w:r>
        <w:rPr>
          <w:sz w:val="20"/>
          <w:szCs w:val="20"/>
          <w:color w:val="auto"/>
        </w:rPr>
        <w:br w:type="column"/>
      </w:r>
    </w:p>
    <w:p>
      <w:pPr>
        <w:ind w:right="60"/>
        <w:spacing w:after="0" w:line="301"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440" w:lineRule="exact"/>
        <w:rPr>
          <w:sz w:val="20"/>
          <w:szCs w:val="20"/>
          <w:color w:val="auto"/>
        </w:rPr>
      </w:pPr>
    </w:p>
    <w:p>
      <w:pPr>
        <w:sectPr>
          <w:pgSz w:w="11900" w:h="16838" w:orient="portrait"/>
          <w:cols w:equalWidth="0" w:num="3">
            <w:col w:w="2400" w:space="720"/>
            <w:col w:w="3940" w:space="120"/>
            <w:col w:w="3920"/>
          </w:cols>
          <w:pgMar w:left="320" w:top="459" w:right="479" w:bottom="1440" w:gutter="0" w:footer="0" w:header="0"/>
          <w:type w:val="continuous"/>
        </w:sectPr>
      </w:pPr>
    </w:p>
    <w:p>
      <w:pPr>
        <w:jc w:val="center"/>
        <w:ind w:right="-37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00"/>
          </w:cols>
          <w:pgMar w:left="320" w:top="459" w:right="47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00"/>
          </w:cols>
          <w:pgMar w:left="320" w:top="459" w:right="479" w:bottom="1440" w:gutter="0" w:footer="0" w:header="0"/>
        </w:sectPr>
      </w:pPr>
    </w:p>
    <w:p>
      <w:pPr>
        <w:spacing w:after="0" w:line="143" w:lineRule="exact"/>
        <w:rPr>
          <w:sz w:val="20"/>
          <w:szCs w:val="20"/>
          <w:color w:val="auto"/>
        </w:rPr>
      </w:pPr>
    </w:p>
    <w:p>
      <w:pPr>
        <w:ind w:left="3120"/>
        <w:spacing w:after="0" w:line="272" w:lineRule="auto"/>
        <w:rPr>
          <w:sz w:val="20"/>
          <w:szCs w:val="20"/>
          <w:color w:val="auto"/>
        </w:rPr>
      </w:pPr>
      <w:r>
        <w:rPr>
          <w:rFonts w:ascii="Arial" w:cs="Arial" w:eastAsia="Arial" w:hAnsi="Arial"/>
          <w:sz w:val="17"/>
          <w:szCs w:val="17"/>
          <w:color w:val="auto"/>
        </w:rPr>
        <w:t>carrying voting rights at general meetings (excluding any paid up capital held as treasury shares) can require the directors to call a general meeting and, if the directors fail to do so within a certain period, may themselves (or any of them representing more than one half of the total voting rights of all of them) convene a general meeting.</w:t>
      </w:r>
    </w:p>
    <w:p>
      <w:pPr>
        <w:spacing w:after="0" w:line="69"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Notice of General Meetings</w:t>
      </w:r>
      <w:r>
        <w:rPr>
          <w:sz w:val="20"/>
          <w:szCs w:val="20"/>
          <w:color w:val="auto"/>
        </w:rPr>
        <w:tab/>
      </w:r>
      <w:r>
        <w:rPr>
          <w:rFonts w:ascii="Arial" w:cs="Arial" w:eastAsia="Arial" w:hAnsi="Arial"/>
          <w:sz w:val="16"/>
          <w:szCs w:val="16"/>
          <w:color w:val="auto"/>
        </w:rPr>
        <w:t>Subject to a company’s articles of association</w:t>
      </w:r>
    </w:p>
    <w:p>
      <w:pPr>
        <w:spacing w:after="0" w:line="23" w:lineRule="exact"/>
        <w:rPr>
          <w:sz w:val="20"/>
          <w:szCs w:val="20"/>
          <w:color w:val="auto"/>
        </w:rPr>
      </w:pPr>
    </w:p>
    <w:p>
      <w:pPr>
        <w:ind w:left="3120"/>
        <w:spacing w:after="0" w:line="266" w:lineRule="auto"/>
        <w:rPr>
          <w:sz w:val="20"/>
          <w:szCs w:val="20"/>
          <w:color w:val="auto"/>
        </w:rPr>
      </w:pPr>
      <w:r>
        <w:rPr>
          <w:rFonts w:ascii="Arial" w:cs="Arial" w:eastAsia="Arial" w:hAnsi="Arial"/>
          <w:sz w:val="17"/>
          <w:szCs w:val="17"/>
          <w:color w:val="auto"/>
        </w:rPr>
        <w:t>providing for a longer period, under the Companies Act, at least 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line="81"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7"/>
          <w:szCs w:val="17"/>
          <w:b w:val="1"/>
          <w:bCs w:val="1"/>
          <w:i w:val="1"/>
          <w:iCs w:val="1"/>
          <w:color w:val="auto"/>
        </w:rPr>
        <w:t>Quorum</w:t>
      </w:r>
      <w:r>
        <w:rPr>
          <w:sz w:val="20"/>
          <w:szCs w:val="20"/>
          <w:color w:val="auto"/>
        </w:rPr>
        <w:tab/>
      </w:r>
      <w:r>
        <w:rPr>
          <w:rFonts w:ascii="Arial" w:cs="Arial" w:eastAsia="Arial" w:hAnsi="Arial"/>
          <w:sz w:val="17"/>
          <w:szCs w:val="17"/>
          <w:color w:val="auto"/>
        </w:rPr>
        <w:t>Subject to the provisions of a company’s articles of</w:t>
      </w:r>
    </w:p>
    <w:p>
      <w:pPr>
        <w:spacing w:after="0" w:line="35" w:lineRule="exact"/>
        <w:rPr>
          <w:sz w:val="20"/>
          <w:szCs w:val="20"/>
          <w:color w:val="auto"/>
        </w:rPr>
      </w:pPr>
    </w:p>
    <w:p>
      <w:pPr>
        <w:ind w:left="3120"/>
        <w:spacing w:after="0" w:line="253" w:lineRule="auto"/>
        <w:rPr>
          <w:sz w:val="20"/>
          <w:szCs w:val="20"/>
          <w:color w:val="auto"/>
        </w:rPr>
      </w:pPr>
      <w:r>
        <w:rPr>
          <w:rFonts w:ascii="Arial" w:cs="Arial" w:eastAsia="Arial" w:hAnsi="Arial"/>
          <w:sz w:val="18"/>
          <w:szCs w:val="18"/>
          <w:color w:val="auto"/>
        </w:rPr>
        <w:t>association, the Companies Act provides that two shareholders present at a meeting (in person, by proxy or authorized representative under the Companies Act) shall constitute a quorum for companies with more than one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10 days nor more than 60 days before the date of the meeting and shall specify the place, date, hour, the means of remote communications by which stockholders and proxy holders may be deemed present and may vote at the meeting, the record date for determining stockholders entitled to vote at the meeting (if different than the record date for determining stockholders entitled to notice) and, if the meeting is a special meeting, the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ectPr>
          <w:pgSz w:w="11900" w:h="16838" w:orient="portrait"/>
          <w:cols w:equalWidth="0" w:num="2">
            <w:col w:w="7060" w:space="120"/>
            <w:col w:w="3920"/>
          </w:cols>
          <w:pgMar w:left="320" w:top="459" w:right="47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20"/>
          </w:cols>
          <w:pgMar w:left="320" w:top="459" w:right="459" w:bottom="1440" w:gutter="0" w:footer="0" w:header="0"/>
        </w:sectPr>
      </w:pPr>
    </w:p>
    <w:p>
      <w:pPr>
        <w:spacing w:after="0" w:line="14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Proxy</w:t>
      </w:r>
      <w:r>
        <w:rPr>
          <w:sz w:val="20"/>
          <w:szCs w:val="20"/>
          <w:color w:val="auto"/>
        </w:rPr>
        <w:tab/>
      </w:r>
      <w:r>
        <w:rPr>
          <w:rFonts w:ascii="Arial" w:cs="Arial" w:eastAsia="Arial" w:hAnsi="Arial"/>
          <w:sz w:val="18"/>
          <w:szCs w:val="18"/>
          <w:color w:val="auto"/>
        </w:rPr>
        <w:t>Under the Companies Act, at any meeting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shareholders, a shareholder may designate another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person to attend, speak and vote at the meeting on</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their behalf by proxy.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70" w:lineRule="exact"/>
        <w:rPr>
          <w:sz w:val="20"/>
          <w:szCs w:val="20"/>
          <w:color w:val="auto"/>
        </w:rPr>
      </w:pPr>
    </w:p>
    <w:p>
      <w:pPr>
        <w:sectPr>
          <w:pgSz w:w="11900" w:h="16838" w:orient="portrait"/>
          <w:cols w:equalWidth="0" w:num="2">
            <w:col w:w="6740" w:space="440"/>
            <w:col w:w="3940"/>
          </w:cols>
          <w:pgMar w:left="320" w:top="459" w:right="459" w:bottom="1440" w:gutter="0" w:footer="0" w:header="0"/>
          <w:type w:val="continuous"/>
        </w:sect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Preemptive Rights</w:t>
      </w:r>
      <w:r>
        <w:rPr>
          <w:sz w:val="20"/>
          <w:szCs w:val="20"/>
          <w:color w:val="auto"/>
        </w:rPr>
        <w:tab/>
      </w:r>
      <w:r>
        <w:rPr>
          <w:rFonts w:ascii="Arial" w:cs="Arial" w:eastAsia="Arial" w:hAnsi="Arial"/>
          <w:sz w:val="16"/>
          <w:szCs w:val="16"/>
          <w:color w:val="auto"/>
        </w:rPr>
        <w:t>Under the Companies Act, “equity securities,” being</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 shares in the company other than shares that, with</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respect to dividends and capital, carry a right to</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participate only up to a specified amount in a</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distribution, referred to as “ordinary shares,” 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 rights to subscribe for, or to convert securities into,</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ordinary shares, proposed to be allotted for cash must</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be offered first to the existing holders of equity shares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in the company in proportion to the respective</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nominal value of their holdings, unless an exception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applies or a special resolution to the contrary has been</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passed by shareholders in a general meeting or the</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articles of association provide otherwise in each case</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in accordance with the provisions of the Companies</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Act.</w:t>
      </w:r>
    </w:p>
    <w:p>
      <w:pPr>
        <w:spacing w:after="0" w:line="10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Authority to Allot</w:t>
      </w:r>
      <w:r>
        <w:rPr>
          <w:sz w:val="20"/>
          <w:szCs w:val="20"/>
          <w:color w:val="auto"/>
        </w:rPr>
        <w:tab/>
      </w:r>
      <w:r>
        <w:rPr>
          <w:rFonts w:ascii="Arial" w:cs="Arial" w:eastAsia="Arial" w:hAnsi="Arial"/>
          <w:sz w:val="16"/>
          <w:szCs w:val="16"/>
          <w:color w:val="auto"/>
        </w:rPr>
        <w:t>Under the Companies Act, the directors of a company</w:t>
      </w:r>
    </w:p>
    <w:p>
      <w:pPr>
        <w:spacing w:after="0" w:line="23" w:lineRule="exact"/>
        <w:rPr>
          <w:sz w:val="20"/>
          <w:szCs w:val="20"/>
          <w:color w:val="auto"/>
        </w:rPr>
      </w:pPr>
    </w:p>
    <w:p>
      <w:pPr>
        <w:ind w:left="3120" w:right="20"/>
        <w:spacing w:after="0" w:line="252" w:lineRule="auto"/>
        <w:rPr>
          <w:sz w:val="20"/>
          <w:szCs w:val="20"/>
          <w:color w:val="auto"/>
        </w:rPr>
      </w:pPr>
      <w:r>
        <w:rPr>
          <w:rFonts w:ascii="Arial" w:cs="Arial" w:eastAsia="Arial" w:hAnsi="Arial"/>
          <w:sz w:val="18"/>
          <w:szCs w:val="18"/>
          <w:color w:val="auto"/>
        </w:rPr>
        <w:t>must not allot shares or grant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120" w:hanging="2996"/>
        <w:spacing w:after="0" w:line="286" w:lineRule="auto"/>
        <w:tabs>
          <w:tab w:leader="none" w:pos="3100" w:val="left"/>
        </w:tabs>
        <w:rPr>
          <w:sz w:val="20"/>
          <w:szCs w:val="20"/>
          <w:color w:val="auto"/>
        </w:rPr>
      </w:pPr>
      <w:r>
        <w:rPr>
          <w:rFonts w:ascii="Arial" w:cs="Arial" w:eastAsia="Arial" w:hAnsi="Arial"/>
          <w:sz w:val="18"/>
          <w:szCs w:val="18"/>
          <w:b w:val="1"/>
          <w:bCs w:val="1"/>
          <w:i w:val="1"/>
          <w:iCs w:val="1"/>
          <w:color w:val="auto"/>
        </w:rPr>
        <w:t>Liability of Directors and Officers</w:t>
      </w:r>
      <w:r>
        <w:rPr>
          <w:sz w:val="20"/>
          <w:szCs w:val="20"/>
          <w:color w:val="auto"/>
        </w:rPr>
        <w:tab/>
      </w:r>
      <w:r>
        <w:rPr>
          <w:rFonts w:ascii="Arial" w:cs="Arial" w:eastAsia="Arial" w:hAnsi="Arial"/>
          <w:sz w:val="17"/>
          <w:szCs w:val="17"/>
          <w:color w:val="auto"/>
        </w:rPr>
        <w:t>Under the Companies Act, any provision, whether contained in a company’s articles of association or any contract or otherwise, that purports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Delaware law, the board of directors or, if the certificate of incorporation so provides, the stockholders have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7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w:t>
      </w:r>
    </w:p>
    <w:p>
      <w:pPr>
        <w:sectPr>
          <w:pgSz w:w="11900" w:h="16838" w:orient="portrait"/>
          <w:cols w:equalWidth="0" w:num="2">
            <w:col w:w="7060" w:space="120"/>
            <w:col w:w="3940"/>
          </w:cols>
          <w:pgMar w:left="320" w:top="459" w:right="45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20"/>
          </w:cols>
          <w:pgMar w:left="320" w:top="459" w:right="459" w:bottom="1440" w:gutter="0" w:footer="0" w:header="0"/>
        </w:sectPr>
      </w:pPr>
    </w:p>
    <w:p>
      <w:pPr>
        <w:spacing w:after="0" w:line="143" w:lineRule="exact"/>
        <w:rPr>
          <w:sz w:val="20"/>
          <w:szCs w:val="20"/>
          <w:color w:val="auto"/>
        </w:rPr>
      </w:pPr>
    </w:p>
    <w:p>
      <w:pPr>
        <w:ind w:left="3120" w:right="40"/>
        <w:spacing w:after="0" w:line="257" w:lineRule="auto"/>
        <w:rPr>
          <w:sz w:val="20"/>
          <w:szCs w:val="20"/>
          <w:color w:val="auto"/>
        </w:rPr>
      </w:pPr>
      <w:r>
        <w:rPr>
          <w:rFonts w:ascii="Arial" w:cs="Arial" w:eastAsia="Arial" w:hAnsi="Arial"/>
          <w:sz w:val="18"/>
          <w:szCs w:val="18"/>
          <w:color w:val="auto"/>
        </w:rPr>
        <w:t>to exempt a director of a company, to any extent, from any liability that would otherwise attach to him or her in connection with any negligence, default, breach of duty or breach of trust in relation to the company is void.</w:t>
      </w:r>
    </w:p>
    <w:p>
      <w:pPr>
        <w:spacing w:after="0" w:line="93" w:lineRule="exact"/>
        <w:rPr>
          <w:sz w:val="20"/>
          <w:szCs w:val="20"/>
          <w:color w:val="auto"/>
        </w:rPr>
      </w:pPr>
    </w:p>
    <w:p>
      <w:pPr>
        <w:ind w:left="3120"/>
        <w:spacing w:after="0" w:line="267" w:lineRule="auto"/>
        <w:rPr>
          <w:sz w:val="20"/>
          <w:szCs w:val="20"/>
          <w:color w:val="auto"/>
        </w:rPr>
      </w:pPr>
      <w:r>
        <w:rPr>
          <w:rFonts w:ascii="Arial" w:cs="Arial" w:eastAsia="Arial" w:hAnsi="Arial"/>
          <w:sz w:val="17"/>
          <w:szCs w:val="17"/>
          <w:color w:val="auto"/>
        </w:rPr>
        <w:t>Any provision by which a company directly or indirectly provides an indemnity, to any extent, for a director of the company or of an associated company against any liability attaching to him or her in connection with any negligence, default, breach of duty or breach of trust in relation to the company of which he or she is a director is also void except as permitted by the Companies Act,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or she is convicted); and (c) provide a “qualifying pension scheme indemnity” (being an indemnity against liability incurred in connection with activities as trustee of an occupational pension plan).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director to the corporation and its stockholders for monetary damages arising from a breach of fiduciary duty as a director. However, no provision can limit the liability of a director for:</w:t>
      </w:r>
    </w:p>
    <w:p>
      <w:pPr>
        <w:spacing w:after="0" w:line="92" w:lineRule="exact"/>
        <w:rPr>
          <w:sz w:val="20"/>
          <w:szCs w:val="20"/>
          <w:color w:val="auto"/>
        </w:rPr>
      </w:pPr>
    </w:p>
    <w:p>
      <w:pPr>
        <w:ind w:left="720" w:right="160" w:hanging="269"/>
        <w:spacing w:after="0" w:line="342" w:lineRule="auto"/>
        <w:rPr>
          <w:sz w:val="20"/>
          <w:szCs w:val="20"/>
          <w:color w:val="auto"/>
        </w:rPr>
      </w:pPr>
      <w:r>
        <w:rPr>
          <w:rFonts w:ascii="Arial" w:cs="Arial" w:eastAsia="Arial" w:hAnsi="Arial"/>
          <w:sz w:val="16"/>
          <w:szCs w:val="16"/>
          <w:color w:val="auto"/>
        </w:rPr>
        <w:t>•  any breach of the director’s duty of loyalty to the corporation or its stockholders;</w:t>
      </w:r>
    </w:p>
    <w:p>
      <w:pPr>
        <w:spacing w:after="0" w:line="29" w:lineRule="exact"/>
        <w:rPr>
          <w:sz w:val="20"/>
          <w:szCs w:val="20"/>
          <w:color w:val="auto"/>
        </w:rPr>
      </w:pPr>
    </w:p>
    <w:p>
      <w:pPr>
        <w:ind w:left="720" w:hanging="269"/>
        <w:spacing w:after="0" w:line="263" w:lineRule="auto"/>
        <w:rPr>
          <w:sz w:val="20"/>
          <w:szCs w:val="20"/>
          <w:color w:val="auto"/>
        </w:rPr>
      </w:pPr>
      <w:r>
        <w:rPr>
          <w:rFonts w:ascii="Arial" w:cs="Arial" w:eastAsia="Arial" w:hAnsi="Arial"/>
          <w:sz w:val="18"/>
          <w:szCs w:val="18"/>
          <w:color w:val="auto"/>
        </w:rPr>
        <w:t>•  acts or omissions not in good faith or that involve intentional misconduct or a knowing violation of law;</w:t>
      </w:r>
    </w:p>
    <w:p>
      <w:pPr>
        <w:spacing w:after="0" w:line="89" w:lineRule="exact"/>
        <w:rPr>
          <w:sz w:val="20"/>
          <w:szCs w:val="20"/>
          <w:color w:val="auto"/>
        </w:rPr>
      </w:pPr>
    </w:p>
    <w:p>
      <w:pPr>
        <w:ind w:left="720" w:right="20" w:hanging="269"/>
        <w:spacing w:after="0" w:line="263" w:lineRule="auto"/>
        <w:rPr>
          <w:sz w:val="20"/>
          <w:szCs w:val="20"/>
          <w:color w:val="auto"/>
        </w:rPr>
      </w:pPr>
      <w:r>
        <w:rPr>
          <w:rFonts w:ascii="Arial" w:cs="Arial" w:eastAsia="Arial" w:hAnsi="Arial"/>
          <w:sz w:val="18"/>
          <w:szCs w:val="18"/>
          <w:color w:val="auto"/>
        </w:rPr>
        <w:t>•  intentional or negligent payment of unlawful dividends or stock purchases or redemptions; or</w:t>
      </w:r>
    </w:p>
    <w:p>
      <w:pPr>
        <w:spacing w:after="0" w:line="89" w:lineRule="exact"/>
        <w:rPr>
          <w:sz w:val="20"/>
          <w:szCs w:val="20"/>
          <w:color w:val="auto"/>
        </w:rPr>
      </w:pPr>
    </w:p>
    <w:p>
      <w:pPr>
        <w:ind w:left="720" w:right="400" w:hanging="269"/>
        <w:spacing w:after="0" w:line="342" w:lineRule="auto"/>
        <w:rPr>
          <w:sz w:val="20"/>
          <w:szCs w:val="20"/>
          <w:color w:val="auto"/>
        </w:rPr>
      </w:pPr>
      <w:r>
        <w:rPr>
          <w:rFonts w:ascii="Arial" w:cs="Arial" w:eastAsia="Arial" w:hAnsi="Arial"/>
          <w:sz w:val="16"/>
          <w:szCs w:val="16"/>
          <w:color w:val="auto"/>
        </w:rPr>
        <w:t>•  any transaction from which the director derives an improper personal benefit.</w:t>
      </w:r>
    </w:p>
    <w:p>
      <w:pPr>
        <w:spacing w:after="0" w:line="1608" w:lineRule="exact"/>
        <w:rPr>
          <w:sz w:val="20"/>
          <w:szCs w:val="20"/>
          <w:color w:val="auto"/>
        </w:rPr>
      </w:pPr>
    </w:p>
    <w:p>
      <w:pPr>
        <w:sectPr>
          <w:pgSz w:w="11900" w:h="16838" w:orient="portrait"/>
          <w:cols w:equalWidth="0" w:num="2">
            <w:col w:w="7060" w:space="120"/>
            <w:col w:w="3940"/>
          </w:cols>
          <w:pgMar w:left="320" w:top="459" w:right="459" w:bottom="1440" w:gutter="0" w:footer="0" w:header="0"/>
          <w:type w:val="continuous"/>
        </w:sect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6"/>
          <w:szCs w:val="16"/>
          <w:color w:val="auto"/>
        </w:rPr>
        <w:t>Unless a poll is demanded by the shareholders of a</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company or is required by the chairman of the meeting</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or the company’s articles of association, shareholders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shall vote on all resolutions on a show of hands. Under</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Companies Act, a poll may be demanded by</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 not fewer than five shareholders having the right to</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vote on the resolution; (b) any shareholder(s)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representing not less than 10% of the total voting</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rights of all the shareholders having the right to vote</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on the resolution (excluding any voting rights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attaching to treasury shares); or (c) any shareholder(s)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holding shares in the company conferring a right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vote on the</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060" w:space="120"/>
            <w:col w:w="3940"/>
          </w:cols>
          <w:pgMar w:left="320" w:top="459" w:right="459"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20"/>
          </w:cols>
          <w:pgMar w:left="320" w:top="459" w:right="459" w:bottom="1440" w:gutter="0" w:footer="0" w:header="0"/>
        </w:sectPr>
      </w:pPr>
    </w:p>
    <w:p>
      <w:pPr>
        <w:spacing w:after="0" w:line="143" w:lineRule="exact"/>
        <w:rPr>
          <w:sz w:val="20"/>
          <w:szCs w:val="20"/>
          <w:color w:val="auto"/>
        </w:rPr>
      </w:pPr>
    </w:p>
    <w:p>
      <w:pPr>
        <w:ind w:left="3120"/>
        <w:spacing w:after="0" w:line="293" w:lineRule="auto"/>
        <w:rPr>
          <w:sz w:val="20"/>
          <w:szCs w:val="20"/>
          <w:color w:val="auto"/>
        </w:rPr>
      </w:pPr>
      <w:r>
        <w:rPr>
          <w:rFonts w:ascii="Arial" w:cs="Arial" w:eastAsia="Arial" w:hAnsi="Arial"/>
          <w:sz w:val="16"/>
          <w:szCs w:val="16"/>
          <w:color w:val="auto"/>
        </w:rPr>
        <w:t>resolution (excluding any voting rights attaching to treasury shares) being shares on which an aggregate sum has been paid up equal to not less than 10% of the total sum paid up on all the shares conferring that right. A company’s articles of association may provide more extensive rights for shareholders to call a poll.</w:t>
      </w:r>
    </w:p>
    <w:p>
      <w:pPr>
        <w:spacing w:after="0" w:line="70" w:lineRule="exact"/>
        <w:rPr>
          <w:sz w:val="20"/>
          <w:szCs w:val="20"/>
          <w:color w:val="auto"/>
        </w:rPr>
      </w:pPr>
    </w:p>
    <w:p>
      <w:pPr>
        <w:ind w:left="3120" w:right="20"/>
        <w:spacing w:after="0" w:line="269" w:lineRule="auto"/>
        <w:rPr>
          <w:sz w:val="20"/>
          <w:szCs w:val="20"/>
          <w:color w:val="auto"/>
        </w:rPr>
      </w:pPr>
      <w:r>
        <w:rPr>
          <w:rFonts w:ascii="Arial" w:cs="Arial" w:eastAsia="Arial" w:hAnsi="Arial"/>
          <w:sz w:val="17"/>
          <w:szCs w:val="17"/>
          <w:color w:val="auto"/>
        </w:rPr>
        <w:t>Under the laws of England and Wales,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w:t>
      </w:r>
    </w:p>
    <w:p>
      <w:pPr>
        <w:spacing w:after="0" w:line="91" w:lineRule="exact"/>
        <w:rPr>
          <w:sz w:val="20"/>
          <w:szCs w:val="20"/>
          <w:color w:val="auto"/>
        </w:rPr>
      </w:pPr>
    </w:p>
    <w:p>
      <w:pPr>
        <w:ind w:left="3120" w:right="20"/>
        <w:spacing w:after="0" w:line="271" w:lineRule="auto"/>
        <w:rPr>
          <w:sz w:val="20"/>
          <w:szCs w:val="20"/>
          <w:color w:val="auto"/>
        </w:rPr>
      </w:pPr>
      <w:r>
        <w:rPr>
          <w:rFonts w:ascii="Arial" w:cs="Arial" w:eastAsia="Arial" w:hAnsi="Arial"/>
          <w:sz w:val="17"/>
          <w:szCs w:val="17"/>
          <w:color w:val="auto"/>
        </w:rPr>
        <w:t>On a show of hands, special resolutions require the affirmative vote of not less than 75% of the votes cast by shareholders present, in person or by proxy, at the meeting. If a poll is demanded, a special resolution is passed if it is approved by holders representing not less than 75% of the total voting rights of shareholders present in person or by proxy who, being entitled to vote, vote on the resolution.</w:t>
      </w:r>
    </w:p>
    <w:p>
      <w:pPr>
        <w:spacing w:after="0" w:line="84"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Shareholder Vote on Certain</w:t>
      </w:r>
      <w:r>
        <w:rPr>
          <w:sz w:val="20"/>
          <w:szCs w:val="20"/>
          <w:color w:val="auto"/>
        </w:rPr>
        <w:tab/>
      </w:r>
      <w:r>
        <w:rPr>
          <w:rFonts w:ascii="Arial" w:cs="Arial" w:eastAsia="Arial" w:hAnsi="Arial"/>
          <w:sz w:val="16"/>
          <w:szCs w:val="16"/>
          <w:color w:val="auto"/>
        </w:rPr>
        <w:t>The Companies Act provides for schemes of</w:t>
      </w:r>
    </w:p>
    <w:p>
      <w:pPr>
        <w:spacing w:after="0" w:line="2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6"/>
          <w:szCs w:val="16"/>
          <w:b w:val="1"/>
          <w:bCs w:val="1"/>
          <w:i w:val="1"/>
          <w:iCs w:val="1"/>
          <w:color w:val="auto"/>
        </w:rPr>
        <w:t>Transactions</w:t>
      </w:r>
      <w:r>
        <w:rPr>
          <w:sz w:val="20"/>
          <w:szCs w:val="20"/>
          <w:color w:val="auto"/>
        </w:rPr>
        <w:tab/>
      </w:r>
      <w:r>
        <w:rPr>
          <w:rFonts w:ascii="Arial" w:cs="Arial" w:eastAsia="Arial" w:hAnsi="Arial"/>
          <w:sz w:val="16"/>
          <w:szCs w:val="16"/>
          <w:color w:val="auto"/>
        </w:rPr>
        <w:t>arrangement, which are arrangements or compromises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between a company and any class of shareholders or</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creditors and used in certain types of reconstructions,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amalgamations, capital reorganizations, or takeovers.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These arrangements require:</w:t>
      </w:r>
    </w:p>
    <w:p>
      <w:pPr>
        <w:spacing w:after="0" w:line="116"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•  the approval at a shareholders’ or creditors’</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convened by order of the court, of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majority in number of shareholders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creditors or a class thereof representing 75%</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in value of the capital held by, or debt</w:t>
      </w:r>
    </w:p>
    <w:p>
      <w:pPr>
        <w:spacing w:after="0" w:line="200" w:lineRule="exact"/>
        <w:rPr>
          <w:sz w:val="20"/>
          <w:szCs w:val="20"/>
          <w:color w:val="auto"/>
        </w:rPr>
      </w:pPr>
    </w:p>
    <w:p>
      <w:pPr>
        <w:spacing w:after="0" w:line="29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•  the approval of the board of directors; and</w:t>
      </w:r>
    </w:p>
    <w:p>
      <w:pPr>
        <w:spacing w:after="0" w:line="142" w:lineRule="exact"/>
        <w:rPr>
          <w:sz w:val="20"/>
          <w:szCs w:val="20"/>
          <w:color w:val="auto"/>
        </w:rPr>
      </w:pPr>
    </w:p>
    <w:p>
      <w:pPr>
        <w:ind w:left="720" w:right="200" w:hanging="269"/>
        <w:spacing w:after="0" w:line="275" w:lineRule="auto"/>
        <w:rPr>
          <w:sz w:val="20"/>
          <w:szCs w:val="20"/>
          <w:color w:val="auto"/>
        </w:rPr>
      </w:pPr>
      <w:r>
        <w:rPr>
          <w:rFonts w:ascii="Arial" w:cs="Arial" w:eastAsia="Arial" w:hAnsi="Arial"/>
          <w:sz w:val="17"/>
          <w:szCs w:val="17"/>
          <w:color w:val="auto"/>
        </w:rPr>
        <w:t>•  approval by the vote of the holders of a majority of the outstanding stock or, if the certificate of incorporation provides for more or less than one vote per share, a majority of the votes of the</w:t>
      </w:r>
    </w:p>
    <w:p>
      <w:pPr>
        <w:sectPr>
          <w:pgSz w:w="11900" w:h="16838" w:orient="portrait"/>
          <w:cols w:equalWidth="0" w:num="2">
            <w:col w:w="7060" w:space="120"/>
            <w:col w:w="3940"/>
          </w:cols>
          <w:pgMar w:left="320" w:top="459" w:right="459" w:bottom="1440"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4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8220" w:type="dxa"/>
            <w:vAlign w:val="bottom"/>
            <w:gridSpan w:val="2"/>
          </w:tcPr>
          <w:p>
            <w:pPr>
              <w:ind w:left="400"/>
              <w:spacing w:after="0"/>
              <w:rPr>
                <w:sz w:val="20"/>
                <w:szCs w:val="20"/>
                <w:color w:val="auto"/>
              </w:rPr>
            </w:pPr>
            <w:r>
              <w:rPr>
                <w:rFonts w:ascii="Arial" w:cs="Arial" w:eastAsia="Arial" w:hAnsi="Arial"/>
                <w:sz w:val="18"/>
                <w:szCs w:val="18"/>
                <w:b w:val="1"/>
                <w:bCs w:val="1"/>
                <w:color w:val="auto"/>
              </w:rPr>
              <w:t>Confidential Treatment Requested by Arm Holdings Limited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tcPr>
          <w:p>
            <w:pPr>
              <w:ind w:left="1340"/>
              <w:spacing w:after="0"/>
              <w:rPr>
                <w:sz w:val="20"/>
                <w:szCs w:val="20"/>
                <w:color w:val="auto"/>
              </w:rPr>
            </w:pPr>
            <w:r>
              <w:rPr>
                <w:rFonts w:ascii="Arial" w:cs="Arial" w:eastAsia="Arial" w:hAnsi="Arial"/>
                <w:sz w:val="18"/>
                <w:szCs w:val="18"/>
                <w:b w:val="1"/>
                <w:bCs w:val="1"/>
                <w:color w:val="auto"/>
                <w:w w:val="92"/>
              </w:rPr>
              <w:t>Pursuant to 17 C.F.R. Section 200.83</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w w:val="90"/>
              </w:rPr>
              <w:t>owed to, the class of shareholders or creditors, or class</w:t>
            </w:r>
          </w:p>
        </w:tc>
        <w:tc>
          <w:tcPr>
            <w:tcW w:w="3980" w:type="dxa"/>
            <w:vAlign w:val="bottom"/>
          </w:tcPr>
          <w:p>
            <w:pPr>
              <w:ind w:left="60"/>
              <w:spacing w:after="0"/>
              <w:rPr>
                <w:sz w:val="20"/>
                <w:szCs w:val="20"/>
                <w:color w:val="auto"/>
              </w:rPr>
            </w:pPr>
            <w:r>
              <w:rPr>
                <w:rFonts w:ascii="Arial" w:cs="Arial" w:eastAsia="Arial" w:hAnsi="Arial"/>
                <w:sz w:val="18"/>
                <w:szCs w:val="18"/>
                <w:color w:val="auto"/>
                <w:w w:val="93"/>
              </w:rPr>
              <w:t>outstanding stock of a corporation entitled to vote 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thereof, respectively, present and voting, either in</w:t>
            </w:r>
          </w:p>
        </w:tc>
        <w:tc>
          <w:tcPr>
            <w:tcW w:w="3980" w:type="dxa"/>
            <w:vAlign w:val="bottom"/>
          </w:tcPr>
          <w:p>
            <w:pPr>
              <w:ind w:left="60"/>
              <w:spacing w:after="0"/>
              <w:rPr>
                <w:sz w:val="20"/>
                <w:szCs w:val="20"/>
                <w:color w:val="auto"/>
              </w:rPr>
            </w:pPr>
            <w:r>
              <w:rPr>
                <w:rFonts w:ascii="Arial" w:cs="Arial" w:eastAsia="Arial" w:hAnsi="Arial"/>
                <w:sz w:val="18"/>
                <w:szCs w:val="18"/>
                <w:color w:val="auto"/>
              </w:rPr>
              <w:t>the matter.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person or by proxy; and</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40" w:type="dxa"/>
            <w:vAlign w:val="bottom"/>
          </w:tcPr>
          <w:p>
            <w:pPr>
              <w:ind w:left="680"/>
              <w:spacing w:after="0"/>
              <w:rPr>
                <w:sz w:val="20"/>
                <w:szCs w:val="20"/>
                <w:color w:val="auto"/>
              </w:rPr>
            </w:pPr>
            <w:r>
              <w:rPr>
                <w:rFonts w:ascii="Arial" w:cs="Arial" w:eastAsia="Arial" w:hAnsi="Arial"/>
                <w:sz w:val="18"/>
                <w:szCs w:val="18"/>
                <w:color w:val="auto"/>
              </w:rPr>
              <w:t>•  the approval of the court.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88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w w:val="94"/>
              </w:rPr>
              <w:t>Standard of Conduct for Directors</w:t>
            </w:r>
          </w:p>
        </w:tc>
        <w:tc>
          <w:tcPr>
            <w:tcW w:w="4240" w:type="dxa"/>
            <w:vAlign w:val="bottom"/>
          </w:tcPr>
          <w:p>
            <w:pPr>
              <w:ind w:left="240"/>
              <w:spacing w:after="0"/>
              <w:rPr>
                <w:sz w:val="20"/>
                <w:szCs w:val="20"/>
                <w:color w:val="auto"/>
              </w:rPr>
            </w:pPr>
            <w:r>
              <w:rPr>
                <w:rFonts w:ascii="Arial" w:cs="Arial" w:eastAsia="Arial" w:hAnsi="Arial"/>
                <w:sz w:val="18"/>
                <w:szCs w:val="18"/>
                <w:color w:val="auto"/>
                <w:w w:val="91"/>
              </w:rPr>
              <w:t>Under the laws of England and Wales, a director owes</w:t>
            </w:r>
          </w:p>
        </w:tc>
        <w:tc>
          <w:tcPr>
            <w:tcW w:w="3980" w:type="dxa"/>
            <w:vAlign w:val="bottom"/>
          </w:tcPr>
          <w:p>
            <w:pPr>
              <w:ind w:left="60"/>
              <w:spacing w:after="0"/>
              <w:rPr>
                <w:sz w:val="20"/>
                <w:szCs w:val="20"/>
                <w:color w:val="auto"/>
              </w:rPr>
            </w:pPr>
            <w:r>
              <w:rPr>
                <w:rFonts w:ascii="Arial" w:cs="Arial" w:eastAsia="Arial" w:hAnsi="Arial"/>
                <w:sz w:val="18"/>
                <w:szCs w:val="18"/>
                <w:color w:val="auto"/>
                <w:w w:val="98"/>
              </w:rPr>
              <w:t>Delaware law does not contain specific provisions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w w:val="97"/>
              </w:rPr>
              <w:t>various statutory and fiduciary duties to a company,</w:t>
            </w:r>
          </w:p>
        </w:tc>
        <w:tc>
          <w:tcPr>
            <w:tcW w:w="3980" w:type="dxa"/>
            <w:vAlign w:val="bottom"/>
          </w:tcPr>
          <w:p>
            <w:pPr>
              <w:ind w:left="60"/>
              <w:spacing w:after="0"/>
              <w:rPr>
                <w:sz w:val="20"/>
                <w:szCs w:val="20"/>
                <w:color w:val="auto"/>
              </w:rPr>
            </w:pPr>
            <w:r>
              <w:rPr>
                <w:rFonts w:ascii="Arial" w:cs="Arial" w:eastAsia="Arial" w:hAnsi="Arial"/>
                <w:sz w:val="18"/>
                <w:szCs w:val="18"/>
                <w:color w:val="auto"/>
                <w:w w:val="91"/>
              </w:rPr>
              <w:t>setting forth the standard of conduct of a director.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including:</w:t>
            </w:r>
          </w:p>
        </w:tc>
        <w:tc>
          <w:tcPr>
            <w:tcW w:w="3980" w:type="dxa"/>
            <w:vAlign w:val="bottom"/>
          </w:tcPr>
          <w:p>
            <w:pPr>
              <w:ind w:left="60"/>
              <w:spacing w:after="0"/>
              <w:rPr>
                <w:sz w:val="20"/>
                <w:szCs w:val="20"/>
                <w:color w:val="auto"/>
              </w:rPr>
            </w:pPr>
            <w:r>
              <w:rPr>
                <w:rFonts w:ascii="Arial" w:cs="Arial" w:eastAsia="Arial" w:hAnsi="Arial"/>
                <w:sz w:val="18"/>
                <w:szCs w:val="18"/>
                <w:color w:val="auto"/>
                <w:w w:val="94"/>
              </w:rPr>
              <w:t>scope of the fiduciary duties of directors is generally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vMerge w:val="restart"/>
          </w:tcPr>
          <w:p>
            <w:pPr>
              <w:ind w:left="320"/>
              <w:spacing w:after="0"/>
              <w:rPr>
                <w:sz w:val="20"/>
                <w:szCs w:val="20"/>
                <w:color w:val="auto"/>
              </w:rPr>
            </w:pPr>
            <w:r>
              <w:rPr>
                <w:rFonts w:ascii="Arial" w:cs="Arial" w:eastAsia="Arial" w:hAnsi="Arial"/>
                <w:sz w:val="18"/>
                <w:szCs w:val="18"/>
                <w:color w:val="auto"/>
              </w:rPr>
              <w:t>•  to act in the way he or she considers, in good</w:t>
            </w:r>
          </w:p>
        </w:tc>
        <w:tc>
          <w:tcPr>
            <w:tcW w:w="3980" w:type="dxa"/>
            <w:vAlign w:val="bottom"/>
          </w:tcPr>
          <w:p>
            <w:pPr>
              <w:ind w:left="60"/>
              <w:spacing w:after="0"/>
              <w:rPr>
                <w:sz w:val="20"/>
                <w:szCs w:val="20"/>
                <w:color w:val="auto"/>
              </w:rPr>
            </w:pPr>
            <w:r>
              <w:rPr>
                <w:rFonts w:ascii="Arial" w:cs="Arial" w:eastAsia="Arial" w:hAnsi="Arial"/>
                <w:sz w:val="18"/>
                <w:szCs w:val="18"/>
                <w:color w:val="auto"/>
                <w:w w:val="92"/>
              </w:rPr>
              <w:t>determined by the courts of the State of Delaware. In</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3980" w:type="dxa"/>
            <w:vAlign w:val="bottom"/>
            <w:vMerge w:val="restart"/>
          </w:tcPr>
          <w:p>
            <w:pPr>
              <w:ind w:left="60"/>
              <w:spacing w:after="0"/>
              <w:rPr>
                <w:sz w:val="20"/>
                <w:szCs w:val="20"/>
                <w:color w:val="auto"/>
              </w:rPr>
            </w:pPr>
            <w:r>
              <w:rPr>
                <w:rFonts w:ascii="Arial" w:cs="Arial" w:eastAsia="Arial" w:hAnsi="Arial"/>
                <w:sz w:val="18"/>
                <w:szCs w:val="18"/>
                <w:color w:val="auto"/>
              </w:rPr>
              <w:t>general, directors have a duty to act without self-</w:t>
            </w:r>
          </w:p>
        </w:tc>
        <w:tc>
          <w:tcPr>
            <w:tcW w:w="0" w:type="dxa"/>
            <w:vAlign w:val="bottom"/>
          </w:tcPr>
          <w:p>
            <w:pPr>
              <w:spacing w:after="0"/>
              <w:rPr>
                <w:sz w:val="1"/>
                <w:szCs w:val="1"/>
                <w:color w:val="auto"/>
              </w:rPr>
            </w:pPr>
          </w:p>
        </w:tc>
      </w:tr>
      <w:tr>
        <w:trPr>
          <w:trHeight w:val="95"/>
        </w:trPr>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40" w:type="dxa"/>
            <w:vAlign w:val="bottom"/>
            <w:vMerge w:val="restart"/>
          </w:tcPr>
          <w:p>
            <w:pPr>
              <w:ind w:left="600"/>
              <w:spacing w:after="0"/>
              <w:rPr>
                <w:sz w:val="20"/>
                <w:szCs w:val="20"/>
                <w:color w:val="auto"/>
              </w:rPr>
            </w:pPr>
            <w:r>
              <w:rPr>
                <w:rFonts w:ascii="Arial" w:cs="Arial" w:eastAsia="Arial" w:hAnsi="Arial"/>
                <w:sz w:val="18"/>
                <w:szCs w:val="18"/>
                <w:color w:val="auto"/>
              </w:rPr>
              <w:t>faith, would be most likely to promote the</w:t>
            </w:r>
          </w:p>
        </w:tc>
        <w:tc>
          <w:tcPr>
            <w:tcW w:w="3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3980" w:type="dxa"/>
            <w:vAlign w:val="bottom"/>
            <w:vMerge w:val="restart"/>
          </w:tcPr>
          <w:p>
            <w:pPr>
              <w:ind w:left="60"/>
              <w:spacing w:after="0"/>
              <w:rPr>
                <w:sz w:val="20"/>
                <w:szCs w:val="20"/>
                <w:color w:val="auto"/>
              </w:rPr>
            </w:pPr>
            <w:r>
              <w:rPr>
                <w:rFonts w:ascii="Arial" w:cs="Arial" w:eastAsia="Arial" w:hAnsi="Arial"/>
                <w:sz w:val="18"/>
                <w:szCs w:val="18"/>
                <w:color w:val="auto"/>
                <w:w w:val="97"/>
              </w:rPr>
              <w:t>interest, on a well-informed basis and in a manner</w:t>
            </w: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40" w:type="dxa"/>
            <w:vAlign w:val="bottom"/>
            <w:vMerge w:val="restart"/>
          </w:tcPr>
          <w:p>
            <w:pPr>
              <w:ind w:left="600"/>
              <w:spacing w:after="0"/>
              <w:rPr>
                <w:sz w:val="20"/>
                <w:szCs w:val="20"/>
                <w:color w:val="auto"/>
              </w:rPr>
            </w:pPr>
            <w:r>
              <w:rPr>
                <w:rFonts w:ascii="Arial" w:cs="Arial" w:eastAsia="Arial" w:hAnsi="Arial"/>
                <w:sz w:val="18"/>
                <w:szCs w:val="18"/>
                <w:color w:val="auto"/>
              </w:rPr>
              <w:t>success of the company for the benefit of its</w:t>
            </w:r>
          </w:p>
        </w:tc>
        <w:tc>
          <w:tcPr>
            <w:tcW w:w="3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3980" w:type="dxa"/>
            <w:vAlign w:val="bottom"/>
            <w:vMerge w:val="restart"/>
          </w:tcPr>
          <w:p>
            <w:pPr>
              <w:ind w:left="60"/>
              <w:spacing w:after="0"/>
              <w:rPr>
                <w:sz w:val="20"/>
                <w:szCs w:val="20"/>
                <w:color w:val="auto"/>
              </w:rPr>
            </w:pPr>
            <w:r>
              <w:rPr>
                <w:rFonts w:ascii="Arial" w:cs="Arial" w:eastAsia="Arial" w:hAnsi="Arial"/>
                <w:sz w:val="18"/>
                <w:szCs w:val="18"/>
                <w:color w:val="auto"/>
                <w:w w:val="89"/>
              </w:rPr>
              <w:t>they reasonably believe to be in the best interest of the</w:t>
            </w: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40" w:type="dxa"/>
            <w:vAlign w:val="bottom"/>
            <w:vMerge w:val="restart"/>
          </w:tcPr>
          <w:p>
            <w:pPr>
              <w:ind w:left="600"/>
              <w:spacing w:after="0"/>
              <w:rPr>
                <w:sz w:val="20"/>
                <w:szCs w:val="20"/>
                <w:color w:val="auto"/>
              </w:rPr>
            </w:pPr>
            <w:r>
              <w:rPr>
                <w:rFonts w:ascii="Arial" w:cs="Arial" w:eastAsia="Arial" w:hAnsi="Arial"/>
                <w:sz w:val="18"/>
                <w:szCs w:val="18"/>
                <w:color w:val="auto"/>
                <w:w w:val="90"/>
              </w:rPr>
              <w:t>members as a whole, and in doing so have regard</w:t>
            </w:r>
          </w:p>
        </w:tc>
        <w:tc>
          <w:tcPr>
            <w:tcW w:w="3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40" w:type="dxa"/>
            <w:vAlign w:val="bottom"/>
            <w:vMerge w:val="continue"/>
          </w:tcPr>
          <w:p>
            <w:pPr>
              <w:spacing w:after="0"/>
              <w:rPr>
                <w:sz w:val="15"/>
                <w:szCs w:val="15"/>
                <w:color w:val="auto"/>
              </w:rPr>
            </w:pPr>
          </w:p>
        </w:tc>
        <w:tc>
          <w:tcPr>
            <w:tcW w:w="3980" w:type="dxa"/>
            <w:vAlign w:val="bottom"/>
          </w:tcPr>
          <w:p>
            <w:pPr>
              <w:ind w:left="60"/>
              <w:spacing w:after="0" w:line="176" w:lineRule="exact"/>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40" w:type="dxa"/>
            <w:vAlign w:val="bottom"/>
          </w:tcPr>
          <w:p>
            <w:pPr>
              <w:ind w:left="600"/>
              <w:spacing w:after="0" w:line="161" w:lineRule="exact"/>
              <w:rPr>
                <w:sz w:val="20"/>
                <w:szCs w:val="20"/>
                <w:color w:val="auto"/>
              </w:rPr>
            </w:pPr>
            <w:r>
              <w:rPr>
                <w:rFonts w:ascii="Arial" w:cs="Arial" w:eastAsia="Arial" w:hAnsi="Arial"/>
                <w:sz w:val="18"/>
                <w:szCs w:val="18"/>
                <w:color w:val="auto"/>
              </w:rPr>
              <w:t>(amongst other matters) to: (a) the likely</w:t>
            </w: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w w:val="96"/>
              </w:rPr>
              <w:t>consequences of any decision in the long-term,</w:t>
            </w:r>
          </w:p>
        </w:tc>
        <w:tc>
          <w:tcPr>
            <w:tcW w:w="3980" w:type="dxa"/>
            <w:vAlign w:val="bottom"/>
          </w:tcPr>
          <w:p>
            <w:pPr>
              <w:ind w:left="60"/>
              <w:spacing w:after="0"/>
              <w:rPr>
                <w:sz w:val="20"/>
                <w:szCs w:val="20"/>
                <w:color w:val="auto"/>
              </w:rPr>
            </w:pPr>
            <w:r>
              <w:rPr>
                <w:rFonts w:ascii="Arial" w:cs="Arial" w:eastAsia="Arial" w:hAnsi="Arial"/>
                <w:sz w:val="18"/>
                <w:szCs w:val="18"/>
                <w:color w:val="auto"/>
                <w:w w:val="99"/>
              </w:rPr>
              <w:t>Directors of a Delaware corporation owe fiduciary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w w:val="99"/>
              </w:rPr>
              <w:t>(b) the interests of the company’s employees,</w:t>
            </w:r>
          </w:p>
        </w:tc>
        <w:tc>
          <w:tcPr>
            <w:tcW w:w="3980" w:type="dxa"/>
            <w:vAlign w:val="bottom"/>
          </w:tcPr>
          <w:p>
            <w:pPr>
              <w:ind w:left="60"/>
              <w:spacing w:after="0"/>
              <w:rPr>
                <w:sz w:val="20"/>
                <w:szCs w:val="20"/>
                <w:color w:val="auto"/>
              </w:rPr>
            </w:pPr>
            <w:r>
              <w:rPr>
                <w:rFonts w:ascii="Arial" w:cs="Arial" w:eastAsia="Arial" w:hAnsi="Arial"/>
                <w:sz w:val="18"/>
                <w:szCs w:val="18"/>
                <w:color w:val="auto"/>
                <w:w w:val="92"/>
              </w:rPr>
              <w:t>duties of care and loyalty to the corporation and to its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w w:val="99"/>
              </w:rPr>
              <w:t>(c) the need to foster the company’s business</w:t>
            </w:r>
          </w:p>
        </w:tc>
        <w:tc>
          <w:tcPr>
            <w:tcW w:w="3980" w:type="dxa"/>
            <w:vAlign w:val="bottom"/>
          </w:tcPr>
          <w:p>
            <w:pPr>
              <w:ind w:left="60"/>
              <w:spacing w:after="0"/>
              <w:rPr>
                <w:sz w:val="20"/>
                <w:szCs w:val="20"/>
                <w:color w:val="auto"/>
              </w:rPr>
            </w:pPr>
            <w:r>
              <w:rPr>
                <w:rFonts w:ascii="Arial" w:cs="Arial" w:eastAsia="Arial" w:hAnsi="Arial"/>
                <w:sz w:val="18"/>
                <w:szCs w:val="18"/>
                <w:color w:val="auto"/>
                <w:w w:val="91"/>
              </w:rPr>
              <w:t>stockholders. The duty of care generally requires that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relationships with suppliers, customers and</w:t>
            </w:r>
          </w:p>
        </w:tc>
        <w:tc>
          <w:tcPr>
            <w:tcW w:w="3980" w:type="dxa"/>
            <w:vAlign w:val="bottom"/>
          </w:tcPr>
          <w:p>
            <w:pPr>
              <w:ind w:left="60"/>
              <w:spacing w:after="0"/>
              <w:rPr>
                <w:sz w:val="20"/>
                <w:szCs w:val="20"/>
                <w:color w:val="auto"/>
              </w:rPr>
            </w:pPr>
            <w:r>
              <w:rPr>
                <w:rFonts w:ascii="Arial" w:cs="Arial" w:eastAsia="Arial" w:hAnsi="Arial"/>
                <w:sz w:val="18"/>
                <w:szCs w:val="18"/>
                <w:color w:val="auto"/>
              </w:rPr>
              <w:t>a director act in good faith, with the care that an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others, (d) the impact of the company’s</w:t>
            </w:r>
          </w:p>
        </w:tc>
        <w:tc>
          <w:tcPr>
            <w:tcW w:w="3980" w:type="dxa"/>
            <w:vAlign w:val="bottom"/>
          </w:tcPr>
          <w:p>
            <w:pPr>
              <w:ind w:left="60"/>
              <w:spacing w:after="0"/>
              <w:rPr>
                <w:sz w:val="20"/>
                <w:szCs w:val="20"/>
                <w:color w:val="auto"/>
              </w:rPr>
            </w:pPr>
            <w:r>
              <w:rPr>
                <w:rFonts w:ascii="Arial" w:cs="Arial" w:eastAsia="Arial" w:hAnsi="Arial"/>
                <w:sz w:val="18"/>
                <w:szCs w:val="18"/>
                <w:color w:val="auto"/>
              </w:rPr>
              <w:t>ordinarily prudent person would exercise under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operations on the community and the</w:t>
            </w:r>
          </w:p>
        </w:tc>
        <w:tc>
          <w:tcPr>
            <w:tcW w:w="3980" w:type="dxa"/>
            <w:vAlign w:val="bottom"/>
          </w:tcPr>
          <w:p>
            <w:pPr>
              <w:ind w:left="60"/>
              <w:spacing w:after="0"/>
              <w:rPr>
                <w:sz w:val="20"/>
                <w:szCs w:val="20"/>
                <w:color w:val="auto"/>
              </w:rPr>
            </w:pPr>
            <w:r>
              <w:rPr>
                <w:rFonts w:ascii="Arial" w:cs="Arial" w:eastAsia="Arial" w:hAnsi="Arial"/>
                <w:sz w:val="18"/>
                <w:szCs w:val="18"/>
                <w:color w:val="auto"/>
                <w:w w:val="90"/>
              </w:rPr>
              <w:t>similar circumstances. Under this duty, a director must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environment, (e) the desirability to maintain a</w:t>
            </w:r>
          </w:p>
        </w:tc>
        <w:tc>
          <w:tcPr>
            <w:tcW w:w="3980" w:type="dxa"/>
            <w:vAlign w:val="bottom"/>
          </w:tcPr>
          <w:p>
            <w:pPr>
              <w:ind w:left="60"/>
              <w:spacing w:after="0"/>
              <w:rPr>
                <w:sz w:val="20"/>
                <w:szCs w:val="20"/>
                <w:color w:val="auto"/>
              </w:rPr>
            </w:pPr>
            <w:r>
              <w:rPr>
                <w:rFonts w:ascii="Arial" w:cs="Arial" w:eastAsia="Arial" w:hAnsi="Arial"/>
                <w:sz w:val="18"/>
                <w:szCs w:val="18"/>
                <w:color w:val="auto"/>
                <w:w w:val="97"/>
              </w:rPr>
              <w:t>inform himself or herself of all material information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w w:val="90"/>
              </w:rPr>
              <w:t>reputation for high standards of business conduct,</w:t>
            </w:r>
          </w:p>
        </w:tc>
        <w:tc>
          <w:tcPr>
            <w:tcW w:w="3980" w:type="dxa"/>
            <w:vAlign w:val="bottom"/>
          </w:tcPr>
          <w:p>
            <w:pPr>
              <w:ind w:left="60"/>
              <w:spacing w:after="0"/>
              <w:rPr>
                <w:sz w:val="20"/>
                <w:szCs w:val="20"/>
                <w:color w:val="auto"/>
              </w:rPr>
            </w:pPr>
            <w:r>
              <w:rPr>
                <w:rFonts w:ascii="Arial" w:cs="Arial" w:eastAsia="Arial" w:hAnsi="Arial"/>
                <w:sz w:val="18"/>
                <w:szCs w:val="18"/>
                <w:color w:val="auto"/>
              </w:rPr>
              <w:t>reasonably available regarding a significant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w w:val="91"/>
              </w:rPr>
              <w:t>and (f) the need to act fairly as between members</w:t>
            </w:r>
          </w:p>
        </w:tc>
        <w:tc>
          <w:tcPr>
            <w:tcW w:w="398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of the company;</w:t>
            </w:r>
          </w:p>
        </w:tc>
        <w:tc>
          <w:tcPr>
            <w:tcW w:w="3980" w:type="dxa"/>
            <w:vAlign w:val="bottom"/>
            <w:vMerge w:val="restart"/>
          </w:tcPr>
          <w:p>
            <w:pPr>
              <w:ind w:left="60"/>
              <w:spacing w:after="0"/>
              <w:rPr>
                <w:sz w:val="20"/>
                <w:szCs w:val="20"/>
                <w:color w:val="auto"/>
              </w:rPr>
            </w:pPr>
            <w:r>
              <w:rPr>
                <w:rFonts w:ascii="Arial" w:cs="Arial" w:eastAsia="Arial" w:hAnsi="Arial"/>
                <w:sz w:val="18"/>
                <w:szCs w:val="18"/>
                <w:color w:val="auto"/>
                <w:w w:val="98"/>
              </w:rPr>
              <w:t>The duty of loyalty requires that a director act in a</w:t>
            </w: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w w:val="92"/>
              </w:rPr>
              <w:t>•  to avoid a situation in which he or she has, or can</w:t>
            </w:r>
          </w:p>
        </w:tc>
        <w:tc>
          <w:tcPr>
            <w:tcW w:w="3980" w:type="dxa"/>
            <w:vAlign w:val="bottom"/>
          </w:tcPr>
          <w:p>
            <w:pPr>
              <w:ind w:left="60"/>
              <w:spacing w:after="0"/>
              <w:rPr>
                <w:sz w:val="20"/>
                <w:szCs w:val="20"/>
                <w:color w:val="auto"/>
              </w:rPr>
            </w:pPr>
            <w:r>
              <w:rPr>
                <w:rFonts w:ascii="Arial" w:cs="Arial" w:eastAsia="Arial" w:hAnsi="Arial"/>
                <w:sz w:val="18"/>
                <w:szCs w:val="18"/>
                <w:color w:val="auto"/>
                <w:w w:val="88"/>
              </w:rPr>
              <w:t>manner he or she reasonably believes to be in the best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w w:val="93"/>
              </w:rPr>
              <w:t>have, a direct or indirect interest that conflicts, or</w:t>
            </w:r>
          </w:p>
        </w:tc>
        <w:tc>
          <w:tcPr>
            <w:tcW w:w="3980" w:type="dxa"/>
            <w:vAlign w:val="bottom"/>
          </w:tcPr>
          <w:p>
            <w:pPr>
              <w:ind w:left="60"/>
              <w:spacing w:after="0"/>
              <w:rPr>
                <w:sz w:val="20"/>
                <w:szCs w:val="20"/>
                <w:color w:val="auto"/>
              </w:rPr>
            </w:pPr>
            <w:r>
              <w:rPr>
                <w:rFonts w:ascii="Arial" w:cs="Arial" w:eastAsia="Arial" w:hAnsi="Arial"/>
                <w:sz w:val="18"/>
                <w:szCs w:val="18"/>
                <w:color w:val="auto"/>
                <w:w w:val="89"/>
              </w:rPr>
              <w:t>interests of the corporation. He or she must not use his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possibly conflicts, with the interests of the</w:t>
            </w:r>
          </w:p>
        </w:tc>
        <w:tc>
          <w:tcPr>
            <w:tcW w:w="3980" w:type="dxa"/>
            <w:vAlign w:val="bottom"/>
          </w:tcPr>
          <w:p>
            <w:pPr>
              <w:ind w:left="60"/>
              <w:spacing w:after="0"/>
              <w:rPr>
                <w:sz w:val="20"/>
                <w:szCs w:val="20"/>
                <w:color w:val="auto"/>
              </w:rPr>
            </w:pPr>
            <w:r>
              <w:rPr>
                <w:rFonts w:ascii="Arial" w:cs="Arial" w:eastAsia="Arial" w:hAnsi="Arial"/>
                <w:sz w:val="18"/>
                <w:szCs w:val="18"/>
                <w:color w:val="auto"/>
              </w:rPr>
              <w:t>or her corporate position for personal gain or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rPr>
              <w:t>company;</w:t>
            </w:r>
          </w:p>
        </w:tc>
        <w:tc>
          <w:tcPr>
            <w:tcW w:w="3980" w:type="dxa"/>
            <w:vAlign w:val="bottom"/>
          </w:tcPr>
          <w:p>
            <w:pPr>
              <w:ind w:left="60"/>
              <w:spacing w:after="0"/>
              <w:rPr>
                <w:sz w:val="20"/>
                <w:szCs w:val="20"/>
                <w:color w:val="auto"/>
              </w:rPr>
            </w:pPr>
            <w:r>
              <w:rPr>
                <w:rFonts w:ascii="Arial" w:cs="Arial" w:eastAsia="Arial" w:hAnsi="Arial"/>
                <w:sz w:val="18"/>
                <w:szCs w:val="18"/>
                <w:color w:val="auto"/>
              </w:rPr>
              <w:t>advantage. In general, but subject to certain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vMerge w:val="restart"/>
          </w:tcPr>
          <w:p>
            <w:pPr>
              <w:ind w:left="320"/>
              <w:spacing w:after="0"/>
              <w:rPr>
                <w:sz w:val="20"/>
                <w:szCs w:val="20"/>
                <w:color w:val="auto"/>
              </w:rPr>
            </w:pPr>
            <w:r>
              <w:rPr>
                <w:rFonts w:ascii="Arial" w:cs="Arial" w:eastAsia="Arial" w:hAnsi="Arial"/>
                <w:sz w:val="18"/>
                <w:szCs w:val="18"/>
                <w:color w:val="auto"/>
              </w:rPr>
              <w:t>•  to act in accordance with our constitution and</w:t>
            </w:r>
          </w:p>
        </w:tc>
        <w:tc>
          <w:tcPr>
            <w:tcW w:w="3980" w:type="dxa"/>
            <w:vAlign w:val="bottom"/>
          </w:tcPr>
          <w:p>
            <w:pPr>
              <w:ind w:left="60"/>
              <w:spacing w:after="0"/>
              <w:rPr>
                <w:sz w:val="20"/>
                <w:szCs w:val="20"/>
                <w:color w:val="auto"/>
              </w:rPr>
            </w:pPr>
            <w:r>
              <w:rPr>
                <w:rFonts w:ascii="Arial" w:cs="Arial" w:eastAsia="Arial" w:hAnsi="Arial"/>
                <w:sz w:val="18"/>
                <w:szCs w:val="18"/>
                <w:color w:val="auto"/>
                <w:w w:val="90"/>
              </w:rPr>
              <w:t>exceptions, actions of a director are presumed to have</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3980" w:type="dxa"/>
            <w:vAlign w:val="bottom"/>
            <w:vMerge w:val="restart"/>
          </w:tcPr>
          <w:p>
            <w:pPr>
              <w:ind w:left="60"/>
              <w:spacing w:after="0"/>
              <w:rPr>
                <w:sz w:val="20"/>
                <w:szCs w:val="20"/>
                <w:color w:val="auto"/>
              </w:rPr>
            </w:pPr>
            <w:r>
              <w:rPr>
                <w:rFonts w:ascii="Arial" w:cs="Arial" w:eastAsia="Arial" w:hAnsi="Arial"/>
                <w:sz w:val="18"/>
                <w:szCs w:val="18"/>
                <w:color w:val="auto"/>
                <w:w w:val="91"/>
              </w:rPr>
              <w:t>been made on an informed basis, in good faith and in</w:t>
            </w:r>
          </w:p>
        </w:tc>
        <w:tc>
          <w:tcPr>
            <w:tcW w:w="0" w:type="dxa"/>
            <w:vAlign w:val="bottom"/>
          </w:tcPr>
          <w:p>
            <w:pPr>
              <w:spacing w:after="0"/>
              <w:rPr>
                <w:sz w:val="1"/>
                <w:szCs w:val="1"/>
                <w:color w:val="auto"/>
              </w:rPr>
            </w:pPr>
          </w:p>
        </w:tc>
      </w:tr>
      <w:tr>
        <w:trPr>
          <w:trHeight w:val="95"/>
        </w:trPr>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40" w:type="dxa"/>
            <w:vAlign w:val="bottom"/>
            <w:vMerge w:val="restart"/>
          </w:tcPr>
          <w:p>
            <w:pPr>
              <w:ind w:left="600"/>
              <w:spacing w:after="0"/>
              <w:rPr>
                <w:sz w:val="20"/>
                <w:szCs w:val="20"/>
                <w:color w:val="auto"/>
              </w:rPr>
            </w:pPr>
            <w:r>
              <w:rPr>
                <w:rFonts w:ascii="Arial" w:cs="Arial" w:eastAsia="Arial" w:hAnsi="Arial"/>
                <w:sz w:val="18"/>
                <w:szCs w:val="18"/>
                <w:color w:val="auto"/>
                <w:w w:val="94"/>
              </w:rPr>
              <w:t>only exercise his or her powers for the purposes</w:t>
            </w:r>
          </w:p>
        </w:tc>
        <w:tc>
          <w:tcPr>
            <w:tcW w:w="3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3980" w:type="dxa"/>
            <w:vAlign w:val="bottom"/>
            <w:vMerge w:val="restart"/>
          </w:tcPr>
          <w:p>
            <w:pPr>
              <w:ind w:left="60"/>
              <w:spacing w:after="0"/>
              <w:rPr>
                <w:sz w:val="20"/>
                <w:szCs w:val="20"/>
                <w:color w:val="auto"/>
              </w:rPr>
            </w:pPr>
            <w:r>
              <w:rPr>
                <w:rFonts w:ascii="Arial" w:cs="Arial" w:eastAsia="Arial" w:hAnsi="Arial"/>
                <w:sz w:val="18"/>
                <w:szCs w:val="18"/>
                <w:color w:val="auto"/>
                <w:w w:val="91"/>
              </w:rPr>
              <w:t>the honest belief that the action taken was in the best</w:t>
            </w:r>
          </w:p>
        </w:tc>
        <w:tc>
          <w:tcPr>
            <w:tcW w:w="0" w:type="dxa"/>
            <w:vAlign w:val="bottom"/>
          </w:tcPr>
          <w:p>
            <w:pPr>
              <w:spacing w:after="0"/>
              <w:rPr>
                <w:sz w:val="1"/>
                <w:szCs w:val="1"/>
                <w:color w:val="auto"/>
              </w:rPr>
            </w:pPr>
          </w:p>
        </w:tc>
      </w:tr>
      <w:tr>
        <w:trPr>
          <w:trHeight w:val="95"/>
        </w:trPr>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40" w:type="dxa"/>
            <w:vAlign w:val="bottom"/>
            <w:vMerge w:val="restart"/>
          </w:tcPr>
          <w:p>
            <w:pPr>
              <w:ind w:left="600"/>
              <w:spacing w:after="0"/>
              <w:rPr>
                <w:sz w:val="20"/>
                <w:szCs w:val="20"/>
                <w:color w:val="auto"/>
              </w:rPr>
            </w:pPr>
            <w:r>
              <w:rPr>
                <w:rFonts w:ascii="Arial" w:cs="Arial" w:eastAsia="Arial" w:hAnsi="Arial"/>
                <w:sz w:val="18"/>
                <w:szCs w:val="18"/>
                <w:color w:val="auto"/>
              </w:rPr>
              <w:t>for which they are conferred;</w:t>
            </w:r>
          </w:p>
        </w:tc>
        <w:tc>
          <w:tcPr>
            <w:tcW w:w="3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40" w:type="dxa"/>
            <w:vAlign w:val="bottom"/>
            <w:vMerge w:val="continue"/>
          </w:tcPr>
          <w:p>
            <w:pPr>
              <w:spacing w:after="0"/>
              <w:rPr>
                <w:sz w:val="11"/>
                <w:szCs w:val="11"/>
                <w:color w:val="auto"/>
              </w:rPr>
            </w:pPr>
          </w:p>
        </w:tc>
        <w:tc>
          <w:tcPr>
            <w:tcW w:w="3980" w:type="dxa"/>
            <w:vAlign w:val="bottom"/>
            <w:vMerge w:val="restart"/>
          </w:tcPr>
          <w:p>
            <w:pPr>
              <w:ind w:left="60"/>
              <w:spacing w:after="0"/>
              <w:rPr>
                <w:sz w:val="20"/>
                <w:szCs w:val="20"/>
                <w:color w:val="auto"/>
              </w:rPr>
            </w:pPr>
            <w:r>
              <w:rPr>
                <w:rFonts w:ascii="Arial" w:cs="Arial" w:eastAsia="Arial" w:hAnsi="Arial"/>
                <w:sz w:val="18"/>
                <w:szCs w:val="18"/>
                <w:color w:val="auto"/>
              </w:rPr>
              <w:t>interests of the corporation. However, this</w:t>
            </w:r>
          </w:p>
        </w:tc>
        <w:tc>
          <w:tcPr>
            <w:tcW w:w="0" w:type="dxa"/>
            <w:vAlign w:val="bottom"/>
          </w:tcPr>
          <w:p>
            <w:pPr>
              <w:spacing w:after="0"/>
              <w:rPr>
                <w:sz w:val="1"/>
                <w:szCs w:val="1"/>
                <w:color w:val="auto"/>
              </w:rPr>
            </w:pPr>
          </w:p>
        </w:tc>
      </w:tr>
      <w:tr>
        <w:trPr>
          <w:trHeight w:val="80"/>
        </w:trPr>
        <w:tc>
          <w:tcPr>
            <w:tcW w:w="13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•  to exercise independent judgment;</w:t>
            </w:r>
          </w:p>
        </w:tc>
        <w:tc>
          <w:tcPr>
            <w:tcW w:w="3980" w:type="dxa"/>
            <w:vAlign w:val="bottom"/>
          </w:tcPr>
          <w:p>
            <w:pPr>
              <w:ind w:left="60"/>
              <w:spacing w:after="0"/>
              <w:rPr>
                <w:sz w:val="20"/>
                <w:szCs w:val="20"/>
                <w:color w:val="auto"/>
              </w:rPr>
            </w:pPr>
            <w:r>
              <w:rPr>
                <w:rFonts w:ascii="Arial" w:cs="Arial" w:eastAsia="Arial" w:hAnsi="Arial"/>
                <w:sz w:val="18"/>
                <w:szCs w:val="18"/>
                <w:color w:val="auto"/>
                <w:w w:val="90"/>
              </w:rPr>
              <w:t>presumption may be rebutted by evidence of a breach</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vMerge w:val="restart"/>
          </w:tcPr>
          <w:p>
            <w:pPr>
              <w:ind w:left="320"/>
              <w:spacing w:after="0"/>
              <w:rPr>
                <w:sz w:val="20"/>
                <w:szCs w:val="20"/>
                <w:color w:val="auto"/>
              </w:rPr>
            </w:pPr>
            <w:r>
              <w:rPr>
                <w:rFonts w:ascii="Arial" w:cs="Arial" w:eastAsia="Arial" w:hAnsi="Arial"/>
                <w:sz w:val="18"/>
                <w:szCs w:val="18"/>
                <w:color w:val="auto"/>
                <w:w w:val="95"/>
              </w:rPr>
              <w:t>•  to exercise reasonable care, skill, and diligence;</w:t>
            </w:r>
          </w:p>
        </w:tc>
        <w:tc>
          <w:tcPr>
            <w:tcW w:w="3980" w:type="dxa"/>
            <w:vAlign w:val="bottom"/>
          </w:tcPr>
          <w:p>
            <w:pPr>
              <w:ind w:left="60"/>
              <w:spacing w:after="0"/>
              <w:rPr>
                <w:sz w:val="20"/>
                <w:szCs w:val="20"/>
                <w:color w:val="auto"/>
              </w:rPr>
            </w:pPr>
            <w:r>
              <w:rPr>
                <w:rFonts w:ascii="Arial" w:cs="Arial" w:eastAsia="Arial" w:hAnsi="Arial"/>
                <w:sz w:val="18"/>
                <w:szCs w:val="18"/>
                <w:color w:val="auto"/>
                <w:w w:val="95"/>
              </w:rPr>
              <w:t>of one of the fiduciary duties. Delaware courts have</w:t>
            </w: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40" w:type="dxa"/>
            <w:vAlign w:val="bottom"/>
            <w:vMerge w:val="continue"/>
          </w:tcPr>
          <w:p>
            <w:pPr>
              <w:spacing w:after="0"/>
              <w:rPr>
                <w:sz w:val="14"/>
                <w:szCs w:val="14"/>
                <w:color w:val="auto"/>
              </w:rPr>
            </w:pPr>
          </w:p>
        </w:tc>
        <w:tc>
          <w:tcPr>
            <w:tcW w:w="3980" w:type="dxa"/>
            <w:vAlign w:val="bottom"/>
            <w:vMerge w:val="restart"/>
          </w:tcPr>
          <w:p>
            <w:pPr>
              <w:ind w:left="60"/>
              <w:spacing w:after="0"/>
              <w:rPr>
                <w:sz w:val="20"/>
                <w:szCs w:val="20"/>
                <w:color w:val="auto"/>
              </w:rPr>
            </w:pPr>
            <w:r>
              <w:rPr>
                <w:rFonts w:ascii="Arial" w:cs="Arial" w:eastAsia="Arial" w:hAnsi="Arial"/>
                <w:sz w:val="18"/>
                <w:szCs w:val="18"/>
                <w:color w:val="auto"/>
                <w:w w:val="92"/>
              </w:rPr>
              <w:t>also imposed a heightened standard of conduct upon</w:t>
            </w: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3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w w:val="93"/>
              </w:rPr>
              <w:t>•  not to accept benefits from a third party conferred</w:t>
            </w:r>
          </w:p>
        </w:tc>
        <w:tc>
          <w:tcPr>
            <w:tcW w:w="3980" w:type="dxa"/>
            <w:vAlign w:val="bottom"/>
          </w:tcPr>
          <w:p>
            <w:pPr>
              <w:ind w:left="60"/>
              <w:spacing w:after="0"/>
              <w:rPr>
                <w:sz w:val="20"/>
                <w:szCs w:val="20"/>
                <w:color w:val="auto"/>
              </w:rPr>
            </w:pPr>
            <w:r>
              <w:rPr>
                <w:rFonts w:ascii="Arial" w:cs="Arial" w:eastAsia="Arial" w:hAnsi="Arial"/>
                <w:sz w:val="18"/>
                <w:szCs w:val="18"/>
                <w:color w:val="auto"/>
                <w:w w:val="99"/>
              </w:rPr>
              <w:t>directors of a Delaware corporation who take any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ind w:left="600"/>
              <w:spacing w:after="0"/>
              <w:rPr>
                <w:sz w:val="20"/>
                <w:szCs w:val="20"/>
                <w:color w:val="auto"/>
              </w:rPr>
            </w:pPr>
            <w:r>
              <w:rPr>
                <w:rFonts w:ascii="Arial" w:cs="Arial" w:eastAsia="Arial" w:hAnsi="Arial"/>
                <w:sz w:val="18"/>
                <w:szCs w:val="18"/>
                <w:color w:val="auto"/>
                <w:w w:val="94"/>
              </w:rPr>
              <w:t>by reason of his or her being a director or doing,</w:t>
            </w:r>
          </w:p>
        </w:tc>
        <w:tc>
          <w:tcPr>
            <w:tcW w:w="3980" w:type="dxa"/>
            <w:vAlign w:val="bottom"/>
          </w:tcPr>
          <w:p>
            <w:pPr>
              <w:ind w:left="60"/>
              <w:spacing w:after="0"/>
              <w:rPr>
                <w:sz w:val="20"/>
                <w:szCs w:val="20"/>
                <w:color w:val="auto"/>
              </w:rPr>
            </w:pPr>
            <w:r>
              <w:rPr>
                <w:rFonts w:ascii="Arial" w:cs="Arial" w:eastAsia="Arial" w:hAnsi="Arial"/>
                <w:sz w:val="18"/>
                <w:szCs w:val="18"/>
                <w:color w:val="auto"/>
                <w:w w:val="99"/>
              </w:rPr>
              <w:t>action designed to defeat a threatened change in</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control of the corporation.</w:t>
            </w:r>
          </w:p>
        </w:tc>
        <w:tc>
          <w:tcPr>
            <w:tcW w:w="0" w:type="dxa"/>
            <w:vAlign w:val="bottom"/>
          </w:tcPr>
          <w:p>
            <w:pPr>
              <w:spacing w:after="0"/>
              <w:rPr>
                <w:sz w:val="1"/>
                <w:szCs w:val="1"/>
                <w:color w:val="auto"/>
              </w:rPr>
            </w:pPr>
          </w:p>
        </w:tc>
      </w:tr>
      <w:tr>
        <w:trPr>
          <w:trHeight w:val="364"/>
        </w:trPr>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40" w:type="dxa"/>
            <w:vAlign w:val="bottom"/>
          </w:tcPr>
          <w:p>
            <w:pPr>
              <w:ind w:left="2720"/>
              <w:spacing w:after="0"/>
              <w:rPr>
                <w:sz w:val="20"/>
                <w:szCs w:val="20"/>
                <w:color w:val="auto"/>
              </w:rPr>
            </w:pPr>
            <w:r>
              <w:rPr>
                <w:rFonts w:ascii="Arial" w:cs="Arial" w:eastAsia="Arial" w:hAnsi="Arial"/>
                <w:sz w:val="18"/>
                <w:szCs w:val="18"/>
                <w:color w:val="auto"/>
              </w:rPr>
              <w:t>165</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20"/>
          </w:cols>
          <w:pgMar w:left="320" w:top="459" w:right="459" w:bottom="1440" w:gutter="0" w:footer="0" w:header="0"/>
        </w:sectPr>
      </w:pPr>
    </w:p>
    <w:p>
      <w:pPr>
        <w:spacing w:after="0" w:line="14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or not doing, anything as a director; and</w:t>
      </w:r>
    </w:p>
    <w:p>
      <w:pPr>
        <w:spacing w:after="0" w:line="131" w:lineRule="exact"/>
        <w:rPr>
          <w:sz w:val="20"/>
          <w:szCs w:val="20"/>
          <w:color w:val="auto"/>
        </w:rPr>
      </w:pPr>
    </w:p>
    <w:p>
      <w:pPr>
        <w:ind w:left="3480" w:hanging="269"/>
        <w:spacing w:after="0" w:line="259" w:lineRule="auto"/>
        <w:rPr>
          <w:sz w:val="20"/>
          <w:szCs w:val="20"/>
          <w:color w:val="auto"/>
        </w:rPr>
      </w:pPr>
      <w:r>
        <w:rPr>
          <w:rFonts w:ascii="Arial" w:cs="Arial" w:eastAsia="Arial" w:hAnsi="Arial"/>
          <w:sz w:val="18"/>
          <w:szCs w:val="18"/>
          <w:color w:val="auto"/>
        </w:rPr>
        <w:t>•  a duty to declare any interest that he or she has, whether directly or indirectly, in a proposed or existing transaction or arrangement with the company.</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83" w:lineRule="exact"/>
        <w:rPr>
          <w:sz w:val="20"/>
          <w:szCs w:val="20"/>
          <w:color w:val="auto"/>
        </w:rPr>
      </w:pPr>
    </w:p>
    <w:p>
      <w:pPr>
        <w:sectPr>
          <w:pgSz w:w="11900" w:h="16838" w:orient="portrait"/>
          <w:cols w:equalWidth="0" w:num="2">
            <w:col w:w="6880" w:space="300"/>
            <w:col w:w="3940"/>
          </w:cols>
          <w:pgMar w:left="320" w:top="459" w:right="459" w:bottom="1440" w:gutter="0" w:footer="0" w:header="0"/>
          <w:type w:val="continuous"/>
        </w:sect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Shareholder Litigation</w:t>
      </w:r>
      <w:r>
        <w:rPr>
          <w:sz w:val="20"/>
          <w:szCs w:val="20"/>
          <w:color w:val="auto"/>
        </w:rPr>
        <w:tab/>
      </w:r>
      <w:r>
        <w:rPr>
          <w:rFonts w:ascii="Arial" w:cs="Arial" w:eastAsia="Arial" w:hAnsi="Arial"/>
          <w:sz w:val="16"/>
          <w:szCs w:val="16"/>
          <w:color w:val="auto"/>
        </w:rPr>
        <w:t>Under the laws of England and Wales, generally, the</w:t>
      </w:r>
    </w:p>
    <w:p>
      <w:pPr>
        <w:spacing w:after="0" w:line="23" w:lineRule="exact"/>
        <w:rPr>
          <w:sz w:val="20"/>
          <w:szCs w:val="20"/>
          <w:color w:val="auto"/>
        </w:rPr>
      </w:pPr>
    </w:p>
    <w:p>
      <w:pPr>
        <w:ind w:left="3120" w:right="20"/>
        <w:spacing w:after="0" w:line="273" w:lineRule="auto"/>
        <w:rPr>
          <w:sz w:val="20"/>
          <w:szCs w:val="20"/>
          <w:color w:val="auto"/>
        </w:rPr>
      </w:pPr>
      <w:r>
        <w:rPr>
          <w:rFonts w:ascii="Arial" w:cs="Arial" w:eastAsia="Arial" w:hAnsi="Arial"/>
          <w:sz w:val="17"/>
          <w:szCs w:val="17"/>
          <w:color w:val="auto"/>
        </w:rPr>
        <w:t>company, rather than its shareholders, is the proper claimant in an action in respect of a wrong done to the company or where there is an irregularity in the company’s internal management.</w:t>
      </w:r>
    </w:p>
    <w:p>
      <w:pPr>
        <w:spacing w:after="0" w:line="82" w:lineRule="exact"/>
        <w:rPr>
          <w:sz w:val="20"/>
          <w:szCs w:val="20"/>
          <w:color w:val="auto"/>
        </w:rPr>
      </w:pPr>
    </w:p>
    <w:p>
      <w:pPr>
        <w:ind w:left="3120"/>
        <w:spacing w:after="0" w:line="269" w:lineRule="auto"/>
        <w:rPr>
          <w:sz w:val="20"/>
          <w:szCs w:val="20"/>
          <w:color w:val="auto"/>
        </w:rPr>
      </w:pPr>
      <w:r>
        <w:rPr>
          <w:rFonts w:ascii="Arial" w:cs="Arial" w:eastAsia="Arial" w:hAnsi="Arial"/>
          <w:sz w:val="17"/>
          <w:szCs w:val="17"/>
          <w:color w:val="auto"/>
        </w:rPr>
        <w:t>Notwithstanding this general position, the Companies Act provides that (a) a court may allow a shareholder to bring a derivative claim (that is, an action in respect of and on behalf of the company) in respect of a cause of action arising from a director’s negligence, default, breach of duty or breach of trust; and (b) a shareholder may bring a claim for a court order where the company’s affairs have been or are being conducted in a manner that is unfairly prejudicial to some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92" w:lineRule="exact"/>
        <w:rPr>
          <w:sz w:val="20"/>
          <w:szCs w:val="20"/>
          <w:color w:val="auto"/>
        </w:rPr>
      </w:pPr>
    </w:p>
    <w:p>
      <w:pPr>
        <w:ind w:left="360" w:hanging="269"/>
        <w:spacing w:after="0" w:line="301" w:lineRule="auto"/>
        <w:rPr>
          <w:sz w:val="20"/>
          <w:szCs w:val="20"/>
          <w:color w:val="auto"/>
        </w:rPr>
      </w:pPr>
      <w:r>
        <w:rPr>
          <w:rFonts w:ascii="Arial" w:cs="Arial" w:eastAsia="Arial" w:hAnsi="Arial"/>
          <w:sz w:val="16"/>
          <w:szCs w:val="16"/>
          <w:color w:val="auto"/>
        </w:rPr>
        <w:t>•  state that the plaintiff was a stockholder at the time of the transaction of which the plaintiff complains or that the plaintiff’s shares thereafter devolved on the plaintiff by operation of law; and</w:t>
      </w:r>
    </w:p>
    <w:p>
      <w:pPr>
        <w:spacing w:after="0" w:line="63" w:lineRule="exact"/>
        <w:rPr>
          <w:sz w:val="20"/>
          <w:szCs w:val="20"/>
          <w:color w:val="auto"/>
        </w:rPr>
      </w:pPr>
    </w:p>
    <w:p>
      <w:pPr>
        <w:ind w:left="360" w:right="140" w:hanging="269"/>
        <w:spacing w:after="0" w:line="279" w:lineRule="auto"/>
        <w:rPr>
          <w:sz w:val="20"/>
          <w:szCs w:val="20"/>
          <w:color w:val="auto"/>
        </w:rPr>
      </w:pPr>
      <w:r>
        <w:rPr>
          <w:rFonts w:ascii="Arial" w:cs="Arial" w:eastAsia="Arial" w:hAnsi="Arial"/>
          <w:sz w:val="17"/>
          <w:szCs w:val="17"/>
          <w:color w:val="auto"/>
        </w:rPr>
        <w:t>•  allege with particularity the efforts made by the plaintiff to obtain the action the plaintiff desires from the directors and the reasons for the plaintiff’s failure to obtain the action; or</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•  state the reasons for not making the effort.</w:t>
      </w:r>
    </w:p>
    <w:p>
      <w:pPr>
        <w:spacing w:after="0" w:line="13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040" w:space="140"/>
            <w:col w:w="3940"/>
          </w:cols>
          <w:pgMar w:left="320" w:top="459" w:right="459"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The depositary typically appoints a custodian to safe keep the securities on deposit. In this case, the custodian is Citibank, N.A., London Branch, located at 25 Canada Square, Canary Wharf, London, E14 5LB, United Kingdom.</w:t>
      </w:r>
    </w:p>
    <w:p>
      <w:pPr>
        <w:spacing w:after="0" w:line="15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We have appointed Citibank as depositary pursuant to a deposit agreement. A copy of the deposit agreement will be on file with the SEC under cover of a registration statement on Form F-6. You may obtain an electronic copy of the deposit agreement from the SEC’s website (www.sec.gov).</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of the U.S.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The manner in which you own the ADSs (e.g., in a brokerage account vs. as registered holder, or as holder of certificated vs. uncertificated ADSs) may affect your rights and obligations, and the manner in which, and the extent to which, the depositary’s services are made available to you.</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7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U.S. The depositary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4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rights to you if:</w:t>
      </w:r>
    </w:p>
    <w:p>
      <w:pPr>
        <w:spacing w:after="0" w:line="131"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pay such taxes and governmental charges, the depositary may sell all or a portion of the property received.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property to you and will sell the property if:</w:t>
      </w:r>
    </w:p>
    <w:p>
      <w:pPr>
        <w:spacing w:after="0" w:line="131"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custodian will be instructed to surrender the ordinary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Upon completion of this offering, the ordinary shares being offered pursuant to this prospectus will be deposited by us with the custodian. Upon receipt of confirmation of such deposit, the depositary will issue ADSs to the underwriters named in this prospectus.</w:t>
      </w:r>
    </w:p>
    <w:p>
      <w:pPr>
        <w:spacing w:after="0" w:line="170"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After the closing of this offering,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U.S. and in England and Wales applicable at the time of deposit.</w:t>
      </w:r>
    </w:p>
    <w:p>
      <w:pPr>
        <w:spacing w:after="0" w:line="18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4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76"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deposit of shares does not violate any applicable provision of English law.</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5600" w:right="3200" w:hanging="4944"/>
        <w:spacing w:after="0" w:line="449" w:lineRule="auto"/>
        <w:tabs>
          <w:tab w:leader="none" w:pos="1084"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 171</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U.S.; and</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ADSs.</w:t>
      </w:r>
    </w:p>
    <w:p>
      <w:pPr>
        <w:spacing w:after="0" w:line="170"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U.S. and in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92"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as a result of:</w:t>
      </w:r>
    </w:p>
    <w:p>
      <w:pPr>
        <w:spacing w:after="0" w:line="131" w:lineRule="exact"/>
        <w:rPr>
          <w:sz w:val="20"/>
          <w:szCs w:val="20"/>
          <w:color w:val="auto"/>
        </w:rPr>
      </w:pPr>
    </w:p>
    <w:p>
      <w:pPr>
        <w:ind w:left="1080" w:right="54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 and/or</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ordinary shares represented by your ADSs except to comply with mandatory provisions of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Articles of Association” in this prospectus.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At our request, the depositary will distribute to you any notice of shareholders’ meeting received from us together with information explaining how to instruct the depositary to exercise the voting rights of the ordinary shares represented by ADSs. In lieu of distributing such materials, the depositary may distribute to holders of ADSs instructions on how to retrieve such materials upon request.</w:t>
      </w:r>
    </w:p>
    <w:p>
      <w:pPr>
        <w:spacing w:after="0" w:line="16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If the depositary timely receives voting instructions from a holder of ADSs, it will endeavor to vote (or cause the custodian to vote) the securities (in person or by proxy) represented by the holder’s ADSs as follows in accordance with the voting instructions received from such holder.</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w:t>
            </w: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Fee</w:t>
            </w:r>
          </w:p>
        </w:tc>
        <w:tc>
          <w:tcPr>
            <w:tcW w:w="76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color w:val="auto"/>
                <w:w w:val="91"/>
              </w:rPr>
              <w:t>Issuance of ADSs (</w:t>
            </w:r>
            <w:r>
              <w:rPr>
                <w:rFonts w:ascii="Arial" w:cs="Arial" w:eastAsia="Arial" w:hAnsi="Arial"/>
                <w:sz w:val="18"/>
                <w:szCs w:val="18"/>
                <w:i w:val="1"/>
                <w:iCs w:val="1"/>
                <w:color w:val="auto"/>
                <w:w w:val="91"/>
              </w:rPr>
              <w:t>e.g.</w:t>
            </w:r>
            <w:r>
              <w:rPr>
                <w:rFonts w:ascii="Arial" w:cs="Arial" w:eastAsia="Arial" w:hAnsi="Arial"/>
                <w:sz w:val="18"/>
                <w:szCs w:val="18"/>
                <w:color w:val="auto"/>
                <w:w w:val="91"/>
              </w:rPr>
              <w:t>, an issuance of ADS upon a deposit of ordinary shares</w:t>
            </w:r>
          </w:p>
        </w:tc>
        <w:tc>
          <w:tcPr>
            <w:tcW w:w="12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w w:val="86"/>
              </w:rPr>
              <w:t>Up</w:t>
            </w:r>
          </w:p>
        </w:tc>
        <w:tc>
          <w:tcPr>
            <w:tcW w:w="760" w:type="dxa"/>
            <w:vAlign w:val="bottom"/>
          </w:tcPr>
          <w:p>
            <w:pPr>
              <w:ind w:left="40"/>
              <w:spacing w:after="0" w:line="195" w:lineRule="exact"/>
              <w:rPr>
                <w:sz w:val="20"/>
                <w:szCs w:val="20"/>
                <w:color w:val="auto"/>
              </w:rPr>
            </w:pPr>
            <w:r>
              <w:rPr>
                <w:rFonts w:ascii="Arial" w:cs="Arial" w:eastAsia="Arial" w:hAnsi="Arial"/>
                <w:sz w:val="18"/>
                <w:szCs w:val="18"/>
                <w:color w:val="auto"/>
              </w:rPr>
              <w:t>to U.S.</w:t>
            </w:r>
          </w:p>
        </w:tc>
        <w:tc>
          <w:tcPr>
            <w:tcW w:w="3640" w:type="dxa"/>
            <w:vAlign w:val="bottom"/>
          </w:tcPr>
          <w:p>
            <w:pPr>
              <w:ind w:left="200"/>
              <w:spacing w:after="0" w:line="195" w:lineRule="exact"/>
              <w:rPr>
                <w:sz w:val="20"/>
                <w:szCs w:val="20"/>
                <w:color w:val="auto"/>
              </w:rPr>
            </w:pPr>
            <w:r>
              <w:rPr>
                <w:rFonts w:ascii="Arial" w:cs="Arial" w:eastAsia="Arial" w:hAnsi="Arial"/>
                <w:sz w:val="18"/>
                <w:szCs w:val="18"/>
                <w:color w:val="auto"/>
              </w:rPr>
              <w:t>¢ per ADS issued.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9"/>
              </w:rPr>
              <w:t>or upon a change in the ADS(s)-to-ordinary shares ratio or for any 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9"/>
              </w:rPr>
              <w:t>reason), excluding ADS issuances as a result of distributions of ordinary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5"/>
              </w:rPr>
              <w:t>Cancellation of ADSs (</w:t>
            </w:r>
            <w:r>
              <w:rPr>
                <w:rFonts w:ascii="Arial" w:cs="Arial" w:eastAsia="Arial" w:hAnsi="Arial"/>
                <w:sz w:val="18"/>
                <w:szCs w:val="18"/>
                <w:i w:val="1"/>
                <w:iCs w:val="1"/>
                <w:color w:val="auto"/>
                <w:w w:val="95"/>
              </w:rPr>
              <w:t>e.g.</w:t>
            </w:r>
            <w:r>
              <w:rPr>
                <w:rFonts w:ascii="Arial" w:cs="Arial" w:eastAsia="Arial" w:hAnsi="Arial"/>
                <w:sz w:val="18"/>
                <w:szCs w:val="18"/>
                <w:color w:val="auto"/>
                <w:w w:val="95"/>
              </w:rPr>
              <w:t>, a cancellation of ADSs for delivery of deposited</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cancelled.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4"/>
              </w:rPr>
              <w:t>property or upon a change in the ADS(s)-to-ordinary shares ratio, or for any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other reason)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3"/>
              </w:rPr>
              <w:t>Distribution of cash dividends or other cash distributions (</w:t>
            </w:r>
            <w:r>
              <w:rPr>
                <w:rFonts w:ascii="Arial" w:cs="Arial" w:eastAsia="Arial" w:hAnsi="Arial"/>
                <w:sz w:val="18"/>
                <w:szCs w:val="18"/>
                <w:i w:val="1"/>
                <w:iCs w:val="1"/>
                <w:color w:val="auto"/>
                <w:w w:val="93"/>
              </w:rPr>
              <w:t>e.g.</w:t>
            </w:r>
            <w:r>
              <w:rPr>
                <w:rFonts w:ascii="Arial" w:cs="Arial" w:eastAsia="Arial" w:hAnsi="Arial"/>
                <w:sz w:val="18"/>
                <w:szCs w:val="18"/>
                <w:color w:val="auto"/>
                <w:w w:val="93"/>
              </w:rPr>
              <w:t>, upon a sale of</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held.</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rights and other entitlements)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ADSs pursuant to (i) share dividends or other free share</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held.</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Distribution of securities other than ADSs or rights to purchase additional</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held.</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ADSs (</w:t>
            </w:r>
            <w:r>
              <w:rPr>
                <w:rFonts w:ascii="Arial" w:cs="Arial" w:eastAsia="Arial" w:hAnsi="Arial"/>
                <w:sz w:val="18"/>
                <w:szCs w:val="18"/>
                <w:i w:val="1"/>
                <w:iCs w:val="1"/>
                <w:color w:val="auto"/>
              </w:rPr>
              <w:t>e.g.</w:t>
            </w:r>
            <w:r>
              <w:rPr>
                <w:rFonts w:ascii="Arial" w:cs="Arial" w:eastAsia="Arial" w:hAnsi="Arial"/>
                <w:sz w:val="18"/>
                <w:szCs w:val="18"/>
                <w:color w:val="auto"/>
              </w:rPr>
              <w:t>, upon a spin-off)</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w w:val="89"/>
              </w:rPr>
              <w:t>¢ per ADS held on the applicable record date(s)</w:t>
            </w:r>
          </w:p>
        </w:tc>
      </w:tr>
      <w:tr>
        <w:trPr>
          <w:trHeight w:val="230"/>
        </w:trPr>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740" w:type="dxa"/>
            <w:vAlign w:val="bottom"/>
            <w:gridSpan w:val="4"/>
          </w:tcPr>
          <w:p>
            <w:pPr>
              <w:ind w:left="120"/>
              <w:spacing w:after="0"/>
              <w:rPr>
                <w:sz w:val="20"/>
                <w:szCs w:val="20"/>
                <w:color w:val="auto"/>
              </w:rPr>
            </w:pPr>
            <w:r>
              <w:rPr>
                <w:rFonts w:ascii="Arial" w:cs="Arial" w:eastAsia="Arial" w:hAnsi="Arial"/>
                <w:sz w:val="18"/>
                <w:szCs w:val="18"/>
                <w:color w:val="auto"/>
              </w:rPr>
              <w:t>established by the depositary.</w:t>
            </w: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9"/>
              </w:rPr>
              <w:t>Registration of ADS Transfers (</w:t>
            </w:r>
            <w:r>
              <w:rPr>
                <w:rFonts w:ascii="Arial" w:cs="Arial" w:eastAsia="Arial" w:hAnsi="Arial"/>
                <w:sz w:val="18"/>
                <w:szCs w:val="18"/>
                <w:i w:val="1"/>
                <w:iCs w:val="1"/>
                <w:color w:val="auto"/>
                <w:w w:val="99"/>
              </w:rPr>
              <w:t>e.g.</w:t>
            </w:r>
            <w:r>
              <w:rPr>
                <w:rFonts w:ascii="Arial" w:cs="Arial" w:eastAsia="Arial" w:hAnsi="Arial"/>
                <w:sz w:val="18"/>
                <w:szCs w:val="18"/>
                <w:color w:val="auto"/>
                <w:w w:val="99"/>
              </w:rPr>
              <w:t>, upon a registration of the transfer of</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(or fraction thereof) transferred.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6"/>
              </w:rPr>
              <w:t>registered ownership of ADSs, upon a transfer of ADSs into DTC and vice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versa, or for any other reason)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Conversion of ADSs of one series for ADSs of another series (</w:t>
            </w:r>
            <w:r>
              <w:rPr>
                <w:rFonts w:ascii="Arial" w:cs="Arial" w:eastAsia="Arial" w:hAnsi="Arial"/>
                <w:sz w:val="18"/>
                <w:szCs w:val="18"/>
                <w:i w:val="1"/>
                <w:iCs w:val="1"/>
                <w:color w:val="auto"/>
                <w:w w:val="98"/>
              </w:rPr>
              <w:t>e.g.</w:t>
            </w:r>
            <w:r>
              <w:rPr>
                <w:rFonts w:ascii="Arial" w:cs="Arial" w:eastAsia="Arial" w:hAnsi="Arial"/>
                <w:sz w:val="18"/>
                <w:szCs w:val="18"/>
                <w:color w:val="auto"/>
                <w:w w:val="98"/>
              </w:rPr>
              <w:t>, upon</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(or fraction thereof) converted.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7"/>
              </w:rPr>
              <w:t>conversion of Partial Entitlement ADSs for Full Entitlement ADSs, or upon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6"/>
              </w:rPr>
              <w:t>conversion of Restricted ADSs (each as defined in the deposit agreement)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into freely transferable ADSs, and vice versa)</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5600" w:right="3980" w:hanging="4944"/>
        <w:spacing w:after="0" w:line="449" w:lineRule="auto"/>
        <w:tabs>
          <w:tab w:leader="none" w:pos="108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 173</w:t>
      </w:r>
    </w:p>
    <w:p>
      <w:pPr>
        <w:sectPr>
          <w:pgSz w:w="11900" w:h="16838" w:orient="portrait"/>
          <w:cols w:equalWidth="0" w:num="1">
            <w:col w:w="11020"/>
          </w:cols>
          <w:pgMar w:left="320" w:top="459" w:right="5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400" w:hanging="424"/>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75"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reasonable and customary fees and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servicing of the ADR program.</w:t>
      </w:r>
    </w:p>
    <w:p>
      <w:pPr>
        <w:spacing w:after="0" w:line="170"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ADS fees and charges payable upon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120" w:right="180" w:hanging="4"/>
        <w:spacing w:after="0" w:line="255" w:lineRule="auto"/>
        <w:tabs>
          <w:tab w:leader="none" w:pos="3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ADS program established by the depositary, upon such terms and conditions as the depositary may deem reasonably appropriate, subject however, in each case, to satisfaction of the applicable registration requirements by the unsponsored ADS program under the Securities Act, and to receipt by the depositary of payment of the applicable fees and charges of, and reimbursement of the applicable expenses incurred by, the depositary.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31"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We and the depositary are obligated only to take the actions specifically stated in the deposit agreement without negligence or bad faith.</w:t>
      </w:r>
    </w:p>
    <w:p>
      <w:pPr>
        <w:spacing w:after="0" w:line="153" w:lineRule="exact"/>
        <w:rPr>
          <w:rFonts w:ascii="Arial" w:cs="Arial" w:eastAsia="Arial" w:hAnsi="Arial"/>
          <w:sz w:val="16"/>
          <w:szCs w:val="16"/>
          <w:color w:val="auto"/>
        </w:rPr>
      </w:pPr>
    </w:p>
    <w:p>
      <w:pPr>
        <w:ind w:left="1080" w:hanging="424"/>
        <w:spacing w:after="0" w:line="308"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40" w:hanging="424"/>
        <w:spacing w:after="0" w:line="25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1080" w:right="220" w:hanging="424"/>
        <w:spacing w:after="0" w:line="25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the Articles or in any provisions of or governing the securities on deposit.</w:t>
      </w:r>
    </w:p>
    <w:p>
      <w:pPr>
        <w:spacing w:after="0" w:line="75" w:lineRule="exact"/>
        <w:rPr>
          <w:rFonts w:ascii="Arial" w:cs="Arial" w:eastAsia="Arial" w:hAnsi="Arial"/>
          <w:sz w:val="18"/>
          <w:szCs w:val="18"/>
          <w:color w:val="auto"/>
        </w:rPr>
      </w:pPr>
    </w:p>
    <w:p>
      <w:pPr>
        <w:jc w:val="both"/>
        <w:ind w:left="1080" w:right="160" w:hanging="424"/>
        <w:spacing w:after="0" w:line="286"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ind w:left="1080" w:right="280" w:hanging="424"/>
        <w:spacing w:after="0" w:line="34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9" w:lineRule="exact"/>
        <w:rPr>
          <w:rFonts w:ascii="Arial" w:cs="Arial" w:eastAsia="Arial" w:hAnsi="Arial"/>
          <w:sz w:val="16"/>
          <w:szCs w:val="16"/>
          <w:color w:val="auto"/>
        </w:rPr>
      </w:pPr>
    </w:p>
    <w:p>
      <w:pPr>
        <w:ind w:left="1080" w:right="38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170"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6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As the above limitations relate to our obligations and the depositary’s obligations to you under the deposit agreement, we believe that, as a matter of construction of the deposit agreement, such limitations would likely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6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ordinary shares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1080" w:right="16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is governed by the laws of England and Wales.</w:t>
      </w:r>
    </w:p>
    <w:p>
      <w:pPr>
        <w:spacing w:after="0" w:line="170"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AS A PARTY TO THE DEPOSIT AGREEMENT, YOU IRREVOCABLY WAIVE, TO THE FULLEST EXTENT PERMITTED BY APPLICABLE LAW, YOUR RIGHT TO TRIAL BY JURY IN ANY LEGAL PROCEEDING ARISING OUT OF THE DEPOSIT AGREEMENT, THE ADRs AND ADSs AGAINST US AND/OR THE DEPOSITARY.</w:t>
      </w:r>
    </w:p>
    <w:p>
      <w:pPr>
        <w:spacing w:after="0" w:line="184"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i w:val="1"/>
          <w:iCs w:val="1"/>
          <w:color w:val="auto"/>
        </w:rPr>
        <w:t>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ADSs on the Nasdaq Global Select Market under the symbol “ARM”.</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this offering, there has been no public market for our ordinary shares or ADSs.</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Future sales of ordinary shares and ADSs in the public market after this offering, and the availability of ordinary shares and ADSs for future sale, could adversely affect the market price of the ordinary shares and ADSs prevailing from time to time. As described below, a significant number of currently outstanding ordinary shares will not be available for sale shortly after this offering due to contractual restrictions on transfers. There may be sales of substantial amounts of our ADSs in the public market after such restrictions lapse. Sales of substantial amounts of our ADSs, or the perception that these sales could occur, could adversely affect prevailing market prices for our ADSs and could impair our ability to raise equity capital in the future.</w:t>
      </w:r>
    </w:p>
    <w:p>
      <w:pPr>
        <w:spacing w:after="0" w:line="19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Based on the number of ordinary shares outstanding as of , 2023, we will have outstanding an aggregate of ordinary shares, including ordinary shares represented by ADSs, following this offering. All of the ADSs to be sold in this offering, including any ADSs sold upon exercise of the underwriters’ option to purchase additional ADSs, will be freely tradable in the U.S. public market without restriction or further registration under the Securities Act, unless the ADSs are held by any of our “affiliates” as such term is defined in Rule 144 of the Securities Act, subject, in each case, to the terms of the lock-up agreements referred to below or the resale restrictions provided for in Rule 144 of the Securities Act, as applicable. The number of ADSs available for sale immediately after this offering will be the number sold in this offering less any ADSs held by our</w:t>
      </w:r>
    </w:p>
    <w:p>
      <w:pPr>
        <w:spacing w:after="0" w:line="4" w:lineRule="exact"/>
        <w:rPr>
          <w:sz w:val="20"/>
          <w:szCs w:val="20"/>
          <w:color w:val="auto"/>
        </w:rPr>
      </w:pPr>
    </w:p>
    <w:p>
      <w:pPr>
        <w:ind w:left="120"/>
        <w:spacing w:after="0"/>
        <w:tabs>
          <w:tab w:leader="none" w:pos="7420" w:val="left"/>
        </w:tabs>
        <w:rPr>
          <w:sz w:val="20"/>
          <w:szCs w:val="20"/>
          <w:color w:val="auto"/>
        </w:rPr>
      </w:pPr>
      <w:r>
        <w:rPr>
          <w:rFonts w:ascii="Arial" w:cs="Arial" w:eastAsia="Arial" w:hAnsi="Arial"/>
          <w:sz w:val="18"/>
          <w:szCs w:val="18"/>
          <w:color w:val="auto"/>
        </w:rPr>
        <w:t>directors, officers and the selling shareholders that are subject to lock-up agreements through</w:t>
      </w:r>
      <w:r>
        <w:rPr>
          <w:sz w:val="20"/>
          <w:szCs w:val="20"/>
          <w:color w:val="auto"/>
        </w:rPr>
        <w:tab/>
      </w:r>
      <w:r>
        <w:rPr>
          <w:rFonts w:ascii="Arial" w:cs="Arial" w:eastAsia="Arial" w:hAnsi="Arial"/>
          <w:sz w:val="16"/>
          <w:szCs w:val="16"/>
          <w:color w:val="auto"/>
        </w:rPr>
        <w:t>days after the date of this prospectus.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80" w:firstLine="440"/>
        <w:spacing w:after="0" w:line="274" w:lineRule="auto"/>
        <w:rPr>
          <w:sz w:val="20"/>
          <w:szCs w:val="20"/>
          <w:color w:val="auto"/>
        </w:rPr>
      </w:pPr>
      <w:r>
        <w:rPr>
          <w:rFonts w:ascii="Arial" w:cs="Arial" w:eastAsia="Arial" w:hAnsi="Arial"/>
          <w:sz w:val="17"/>
          <w:szCs w:val="17"/>
          <w:color w:val="auto"/>
        </w:rPr>
        <w:t>We, our directors and executive officers and the selling shareholders have agreed that, without the prior written consent of , we and they will not, subject to certain exceptions, for a period of days after the date of this prospectus, offer, pledge, sell, contract to sell, sell any</w:t>
      </w:r>
    </w:p>
    <w:p>
      <w:pPr>
        <w:ind w:left="120"/>
        <w:spacing w:after="0"/>
        <w:rPr>
          <w:sz w:val="20"/>
          <w:szCs w:val="20"/>
          <w:color w:val="auto"/>
        </w:rPr>
      </w:pPr>
      <w:r>
        <w:rPr>
          <w:rFonts w:ascii="Arial" w:cs="Arial" w:eastAsia="Arial" w:hAnsi="Arial"/>
          <w:sz w:val="17"/>
          <w:szCs w:val="17"/>
          <w:color w:val="auto"/>
        </w:rPr>
        <w:t>option or contract to purchase, purchase any option or contract to sell, grant any option, right or warrant to purchase, lend or otherwise transfer or</w:t>
      </w:r>
    </w:p>
    <w:p>
      <w:pPr>
        <w:spacing w:after="0" w:line="39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dispose of, directly or indirectly, any ADSs or any securities convertible into or exercisable or exchangeable for our ADSs. may release the securities subject to any of the lock-up agreements with the underwriters described above, in whole or in part at any time.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general, persons who have beneficially owned restricted ordinary shares for at least six months, and any affiliate of the company who owns either restricted or unrestricted ordinary shares, are entitled to sell their securities without registration with the SEC under an exemption from registration provided by Rule 144 under the Securities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pacing w:after="0" w:line="29" w:lineRule="exact"/>
        <w:rPr>
          <w:sz w:val="20"/>
          <w:szCs w:val="20"/>
          <w:color w:val="auto"/>
        </w:rPr>
      </w:pPr>
    </w:p>
    <w:p>
      <w:pPr>
        <w:ind w:left="2040" w:right="520" w:hanging="1384"/>
        <w:spacing w:after="0" w:line="291" w:lineRule="auto"/>
        <w:tabs>
          <w:tab w:leader="none" w:pos="10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1% of the number of ordinary shares then outstanding, being represented by ADSs or otherwise, which will equal approximately ordinary shares immediately after the closing of this offering based on the number of ordinary shares outstanding as of</w:t>
      </w:r>
    </w:p>
    <w:p>
      <w:pPr>
        <w:ind w:left="1720" w:hanging="92"/>
        <w:spacing w:after="0"/>
        <w:tabs>
          <w:tab w:leader="none" w:pos="17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2023; or</w:t>
      </w:r>
    </w:p>
    <w:p>
      <w:pPr>
        <w:spacing w:after="0" w:line="116"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trading volume of our ADSs during the four calendar weeks preceding the filing of a notice on Form 144 with respect to that sale.</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Sales under Rule 144 by our affiliates or persons selling ordinary shares on behalf of our affiliates also are subject to certain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Rule 701 generally allows a shareholder who was issued our ordinary shares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w:t>
      </w:r>
    </w:p>
    <w:p>
      <w:pPr>
        <w:spacing w:after="0" w:line="2" w:lineRule="exact"/>
        <w:rPr>
          <w:sz w:val="20"/>
          <w:szCs w:val="20"/>
          <w:color w:val="auto"/>
        </w:rPr>
      </w:pPr>
    </w:p>
    <w:p>
      <w:pPr>
        <w:ind w:left="120" w:right="220" w:hanging="4"/>
        <w:spacing w:after="0" w:line="260"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Moreover, certain Rule 701 shares are subject to lock-up agreements as described above and under the section titled “Underwriting” and will not become eligible for sale until the expiration of those agreements.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intend to file with the SEC one or more registration statements on Form S-8 under the Securities Act to register the offer and sale of our ordinary shares and ADSs reserved for issuance under our equity incentive plans. These registration statements will become effective immediately upon filing. ADSs covered by these registration statements will then be eligible for sale in the open market, subject to vesting restrictions, any applicable lock-up agreements described below and Rule 144 limitations applicable to affiliates.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Regulation S under the Securities Act (“Regulation S”) provides that ADSs and ordinary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ADSs and ordinary shares may be sold outside the U.S. without registration in the U.S. being required.</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following is a description of the material U.S. federal income tax consequences to U.S. Holders (as defined below) of owning and disposing of our ordinary shares or ADSs acquired pursuant to this offering. This discussion is not a comprehensive description of all tax considerations that may be relevant to a particular person’s decision to acquire our ordinary shares or ADSs. The discussion is based on the Code, administrative pronouncements, judicial decisions, final, temporary and proposed Treasury Regulations and the income tax treaty between the U.K. and the U.S. (the “Treaty”), all as of the date hereof, changes to any of which may affect the tax consequences described herein—possibly with retroactive effect. The following discussion is not binding on the IRS or any court. Thus, we cannot provide any assurance that the U.S. federal income tax consequences discussed below will not be challenged by the IRS or will be sustained by a court if challenged by the IRS.</w:t>
      </w:r>
    </w:p>
    <w:p>
      <w:pPr>
        <w:spacing w:after="0" w:line="16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This discussion applies only to a U.S. Holder that will hold our ordinary shares or ADSs as a capital asset for tax purposes (generally, property held for investment). In addition, it does not describe all of the tax consequences that may be relevant in light of a U.S. Holder’s particular circumstances, including state, local and non-U.S. tax consequences, estate and gift tax consequences, alternative minimum tax consequences, special accounting rules under Section 451(b) of the Code, the potential application of the Medicare contribution tax, and tax consequences applicable to U.S. Holders subject to special rules, such as:</w:t>
      </w:r>
    </w:p>
    <w:p>
      <w:pPr>
        <w:spacing w:after="0" w:line="93"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tax-exempt entities (including private foundations) or government organizations;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persons who acquired our ordinary shares or ADSs pursuant to the exercise of any employee stock option or otherwise as compensation;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holding our ordinary shares or ADSs in connection with a trade or business, permanent establishment or fixed base outside the U.S.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w:t>
      </w:r>
    </w:p>
    <w:p>
      <w:pPr>
        <w:spacing w:after="0" w:line="1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9" w:right="49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w:t>
      </w:r>
    </w:p>
    <w:p>
      <w:pPr>
        <w:spacing w:after="0" w:line="131"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If you are considering the purchase of our ADSs or ordinary shares, you should consult your own tax advisors concerning the particular U.S. federal income tax consequences to you of the purchase, ownership and disposition of our ADSs or ordinary shares in light of your own particular circumstances, as well as the consequences to you arising under other U.S. federal, state and local tax laws and the laws of any other taxing jurisdiction.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is treated for U.S. federal income tax purposes as holding the ordinary shares represented by the ADS. Accordingly, no gain or loss will generally be recognized upon an exchange of ADSs for ordinary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Subject to the discussion below under “—Passive Foreign Investment Company Rules,” distributions paid on ordinary shares or ADSs, other than certain distributions of ordinary shares or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including conditions relating to holding period and the absence of certain risk reduction transactions, dividends paid to certain non-corporate U.S. Holders may be taxable at preferential rates applicable to “qualified dividend income” received from a “qualified foreign corporation.” A non-U.S. corporation will generally be considered a qualified foreign corporation (i) if it is eligible for the benefits of a comprehensive tax treaty with the U.S. which the Secretary of Treasury of the United States determines is satisfactory for purposes of these rules and which includes an exchange of information provision (which includes the Treaty) or (ii) with respect to any dividend it pays on ordinary shares or ADSs which are readily tradable on an established securities market in the U.S. Our ADSs (but not ordinary shares) will be listed on Nasdaq, which is a qualified exchange for these purposes. Consequently, if our ADSs remain listed on Nasdaq and are regularly traded, we expect to be a qualified foreign corporation for purposes of dividends paid by us constituting qualified dividend income. However, the qualified dividend income treatment will not apply if we are treated as a PFIC with respect to the U.S. Holder for our taxable year of the distribution or the preceding taxable year.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actual or 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For foreign tax credit purposes, our dividends will generally be treated as passive category income.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Subject to the discussion below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Such gain or loss will generally be U.S.-source gain or loss for foreign tax credit purposes. The deductibility of capital losses is subject to limitations.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If the U.S. Holder is an accrual basis taxpayer that is not eligible to or does not elect to determine the amount realized using the spot rate on the settlement date, the U.S. Holder will recognize foreign currency gain or loss to the extent of any difference between the U.S. dollar amount realized on the date of sale or disposition and the U.S. dollar value of the currency received at the spot rate on the settlement date. Gain or loss, if any, realized by a U.S. Holder on the sale or other disposition of our ordinary shares generally will be treated as U.S. source gain or loss for U.S. foreign tax credit limitation purposes.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will be a PFIC for any taxable year in which (1) 75% or more of our gross income consists of passive income or (2) 50% or more of the value of our assets (generally determined on the basis of a weighted quarterly average) consists of assets that produce, or are held for the production of, passive income. For purposes of these tests, passive income generally includes dividends, interest, certain gains from the sale or exchange of investment property and certain rents and royalties, and cash and cash-equivalents are generally passive assets for these purposes. In addition, for purposes of the above calculations, a non-U.S. corporation that directly or indirectly owns at least 25% by value of the shares of another corporation is treated as holding and receiving directly its proportionate share of assets and income, respectively, of such other corporation. If we are a PFIC for any taxable year during which a U.S. Holder holds our ordinary shares or ADSs, the U.S. Holder may be subject to adverse tax consequences regardless of whether we continue to qualify as a PFIC, including ineligibility for any preferential tax rates on capital gains or on actual or deemed dividends, interest charges on certain taxes treated as deferred and additional reporting requirements.</w:t>
      </w:r>
    </w:p>
    <w:p>
      <w:pPr>
        <w:spacing w:after="0" w:line="18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Based on our analysis of our activities and current estimates (and not fully audited financials) of our income and assets, we believe that we were not a PFIC for our most recently completed taxable year. However, the determination of whether we are a PFIC is a fact-intensive determination made on an annual basis by applying principles and methodologies that in some circumstances are unclear and subject to varying interpretation. For instance, for our current and future taxable years, the total value of our assets for PFIC testing purposes (including goodwill) may be determined in part by reference to the market price of our ordinary shares or ADSs from time to time, which may fluctuate considerably. If our market capitalization declines while we hold a</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substantial amount of cash and cash-equivalents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Even if we determine that we are not a PFIC for a taxable year, there can be no assurance that the IRS will agree with our conclusion and that the IRS would not successfully challenge our position. Accordingly, we cannot provide any assurances that we will not be a PFIC for the current or any future taxable year, and our U.S. counsel expresses no opinion with respect to our PFIC status.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we are classified as a PFIC in any taxable year with respect to which a U.S. Holder owns our ordinary shares or ADSs, we will continue to be treated as a PFIC with respect to such U.S. Holder in all succeeding taxable years during which such U.S. Holder owns our ordinary shares or ADSs, regardless of whether we continue to meet the tests described above, unless we cease to be a PFIC and such U.S. Holder has made a “deemed sale” election under the PFIC rules. If such a deemed sale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our ordinary shares or ADSs. U.S. Holders should consult their tax advisors as to the possibility and consequences of making a deemed sale election if we are a PFIC and cease to be a PFIC and such election becomes available.</w:t>
      </w:r>
    </w:p>
    <w:p>
      <w:pPr>
        <w:spacing w:after="0" w:line="18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For each taxable year that we are treated as a PFIC with respect to a U.S. Holder, such U.S. Holder will be subject to special tax rules with respect to any “excess distribution” such U.S. Holder receives from us and any gain such U.S. Holder recognizes from a sale or other disposition (including a pledge) of our ordinary shares or ADSs, unless (i) such U.S. Holder makes a “qualified electing fund” election (a “QEF Election”), as discussed below, with respect to all taxable years during such U.S. Holder’s holding period in which we are a PFIC or (ii) our ordinary shares or ADSs constitute “marketable stock”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72"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ordinary shares or ADSs;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allocated to each other taxable year will be subject to the highest tax rate in effect for that year and the interest charge generally applicable to underpayments of tax will be imposed on the resulting tax attributable to each such year.</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tax liability for amounts allocated to taxable years prior to the taxable year of disposition or “excess distribution” cannot be offset by any net operating losses for such years, and gains (but not losses) realized on the sale of the ordinary shares or ADSs cannot be treated as capital gains, even if a U.S. Holder holds the ordinary shares or ADSs as capital assets.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or any other entities in which we hold equity interests that also are PFICs (“lower-tier PFICs”) as if such distributions were indirectly received by, and/or dispositions were indirectly carried out by, such U.S. Holder. U.S. Holders should consult their tax advisors regarding the application of the PFIC rules to lower-tier PFICs.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do not currently expect to provide information that would allow a U.S. Holder to make a QEF Election in the event that we or any of our subsidiaries are classified as a PFIC and, therefore, U.S. Holders should assume such election will not be available if we or any of our subsidiaries are a PFIC.</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U.S. Holders can avoid the interest charge on excess distributions or gain relating to the ordinary shares or ADSs by making a mark-to-market election with respect to the ordinary shares or ADSs, provided that the ordinary shares or ADSs are “marketable stock.” Ordinary shares or ADSs will be marketable stock if they are “regularly traded” on certain U.S. stock exchanges or on a non-U.S.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one of their principal purposes meeting this requirement will be disregarded. Our ADSs (but not ordinary shares) will be listed on Nasdaq, which is a qualified exchange for these purposes. Consequently, if our ADSs remain listed on Nasdaq and are regularly traded, we expect the mark-to-market election would be available to U.S. Holders of our ADSs if we are a PFIC. Each U.S. Holder should consult its tax advisor as to whether a mark-to-market election is available or advisable with respect to our ordinary shares or ADSs.</w:t>
      </w:r>
    </w:p>
    <w:p>
      <w:pPr>
        <w:spacing w:after="0" w:line="18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U.S.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in any year in which we are a PFIC will be treated as ordinary income, and any losses incurred on a sale or other disposition of the ordinary shares or ADSs will be treated as an ordinary loss to the extent of any net mark-to-market gains for prior years. Once made, the election cannot be revoked without the consent of the IRS unless the ordinary shares or ADSs cease to be marketable stock.</w:t>
      </w:r>
    </w:p>
    <w:p>
      <w:pPr>
        <w:spacing w:after="0" w:line="17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 mark-to-market election generally cannot be made for equity interests in any lower-tier PFICs that we own, unless shares of such lower-tier PFIC are themselves “marketable stock.”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may result in substantial penalties and extend the statute of limitations with respect to the U.S. Holder’s U.S. federal income tax return. U.S. Holders should consult their tax advisors regarding the requirements of filing such information returns under these rules.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Payments of dividends and sales proceeds that are made within the U.S.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U.S. Holders may be required to file IRS Form 926 (Return by a U.S. Transferor of Property to a Foreign Corporation) with their federal income tax return to report a transfer of property (including cash transferred in connection with the offering) to us. Substantial penalties may be imposed on a U.S. Holder that fails to comply with this reporting requirement and the period of limitations on assessment and collection of U.S. federal income taxes will be extended in the event of a failure to comply. In addition, certain U.S. Holders who are individuals (and, under U.S. Treasury Regulations, certain entities) may be required to report information relating to our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ordinary shares or ADSs and with respect to their possible obligation to file IRS Forms 926 and/or 8938.</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Taxation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following is intended as a general guide to current U.K. tax law and HMRC practice, applying as at the date of this prospectus (both of which are subject to change at any time, possibly with retrospective effect) relating to the holding and disposing of ADSs. It does not constitute legal or tax advice and does not purport to be a complete analysis of all U.K. tax considerations relating to the holding or disposing of ADSs, or all of the circumstances in which holders of ADSs may benefit from an exemption or relief from U.K. taxation. It is written on the basis that the company does not (and will not) directly or indirectly derive 75% or more of its qualifying asset value from U.K. land, and that the company is and remains solely resident in the U.K. for tax purposes and will therefore be subject to the U.K. tax regime and not the U.S. tax regime save as set out above under “U.S. Federal Income Taxation.”</w:t>
      </w:r>
    </w:p>
    <w:p>
      <w:pPr>
        <w:spacing w:after="0" w:line="19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Except to the extent that the position of non-U.K. resident persons is expressly referred to, this guide relates only to persons who are resident (and, in the case of individuals, domiciled or deemed domiciled and to whom split year treatment does not apply) for tax purposes solely in the U.K. and do not have a permanent establishment, branch, agency (or equivalent) or fixed base in any other jurisdiction with which the holding of the ADSs is connected (“U.K. Holders”) who are absolute beneficial owners of the ADSs (where the ADSs are not held through an Individual Savings Account or a Self-Invested Personal Pension) and any dividends paid in respect of the ADSs (where the dividends are regarded for U.K. tax purposes as that person’s own income).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guide may not relate to certain classes of U.K. Holders, such as (but not limited to):</w:t>
      </w:r>
    </w:p>
    <w:p>
      <w:pPr>
        <w:spacing w:after="0" w:line="131"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who are connected with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charities or tax-exempt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collective investment schemes;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pension schemes;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market makers, intermediaries, brokers or dealers in securities or persons who hold ADSs otherwise than as an investment;</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who have (or are deemed to have) acquired their ADSs by virtue of an office or employment or who are or have been officers or employees of the company or any of its affiliates;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individuals who are subject to U.K. taxation on a remittance basis.</w:t>
      </w:r>
    </w:p>
    <w:p>
      <w:pPr>
        <w:spacing w:after="0" w:line="225"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The decision of the First-tier Tribunal (Tax Chamber) in HSBC Holdings PLC and The Bank of New York Mellon Corporation v HMRC (2012) cast some doubt on whether a holder of a depositary receipt is the beneficial owner of the underlying shares. However, based on published HMRC guidance, we would expect that HMRC will regard a holder of ADSs as holding the beneficial interest in the underlying shares and therefore 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157"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b w:val="1"/>
          <w:bCs w:val="1"/>
          <w:color w:val="auto"/>
        </w:rPr>
        <w:t>THESE PARAGRAPHS ARE A SUMMARY OF CERTAIN U.K. TAX CONSIDERATIONS AND ARE INTENDED AS A GENERAL GUIDE ONLY. IT IS RECOMMENDED THAT ALL HOLDERS OF ADSs OBTAIN ADVICE AS TO THE CONSEQUENCES OF THE ACQUISITION, OWNERSHIP AND DISPOSAL OF THE ADSs IN THEIR OWN SPECIFIC CIRCUMSTANCES FROM THEIR OWN TAX ADVISORS. IN PARTICULAR, NON-U.K. RESIDENT OR DOMICILED PERSONS ARE ADVISED TO CONSIDER THE POTENTIAL IMPACT OF ANY RELEVANT DOUBLE TAXATION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Withholding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Dividends paid by the company will not be subject to any withholding or deduction for or on account of U.K. tax.</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 individual U.K. Holder may, depending on his or her particular circumstances, be subject to U.K. tax on dividends received from the company. An individual holder of ADSs who is not resident for tax purposes in the U.K. should not be chargeable to U.K. income tax on dividends received from the company unless he or she carries on (whether solely or in partnership) a trade, profession or vocation in the U.K. through a branch or agency to which the ADSs are attributable. There are certain exceptions for trading in the U.K. through independent agents, such as some brokers and investment managers.</w:t>
      </w:r>
    </w:p>
    <w:p>
      <w:pPr>
        <w:spacing w:after="0" w:line="188"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All dividends received by an individual U.K. Holder from us or from other sources will form part of that U.K. Holder’s total income for income tax purposes. A nil rate of income tax will apply to the first £1,000 of taxable dividend income received by the individual U.K. Holder in a tax year. Income within the nil rate band will be taken into account in determining whether income in excess of the tax-free allowance falls within the basic rate, higher rate or additional rate tax bands. Dividend income in excess of the £1,000 tax-free allowance will (subject to the availability of any income tax personal allowance) be taxed at 8.75% to the extent that the excess amount falls within the basic rate tax band, 33.75% to the extent that the excess amount falls within the higher rate tax band and 39.35% to the extent that the excess amount falls within the additional rate tax band.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Corporation Tax</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 corporate holder of ADSs who is not resident for tax purposes in the U.K. should not be chargeable to U.K. corporation tax on dividends received from the company unless it carries on (whether solely or in partnership) a trade in the U.K. through a permanent establishment to which the ADSs are attributable.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Corporate U.K. Holders should not be subject to U.K. corporation tax on any dividend received from the company so long as the dividends qualify for exemption, which should be the case, although certain conditions must be met. If the conditions for the exemption are not satisfied, or such U.K. Holder elects for an otherwise exempt dividend to be taxable, U.K. corporation tax will be chargeable on the amount of any dividends (at the current rate of 25%).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Chargeable Gains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 disposal or deemed disposal of ADSs by a U.K. Holder may, depending on the U.K. Holder’s circumstances and subject to any available exemptions or reliefs (such as the annual exemption), give rise to a chargeable gain or an allowable loss for the purposes of U.K. capital gains tax for individuals and corporation tax on chargeable gains for corporates.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 individual U.K. Holder who is subject to U.K. income tax at either the higher or the additional rate is liable to U.K. capital gains tax on the disposal of ADSs, the current applicable rate will be 20%. For an individual U.K. Holder who is subject to U.K. income tax at the basic rate and liable to U.K. capital gains tax on such disposal, the current applicable rate would be 10%, save to the extent that any capital gains when aggregated with the U.K. Holder’s other taxable income and gains in the relevant tax year exceed the unused basic rate tax band. In that case, the rate currently applicable to the excess would be 20%.</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a corporate U.K. Holder becomes liable to U.K. corporation tax on the disposal (or deemed disposal) of ADSs, the main rate of U.K.</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 tax (currently 25%) would apply.</w:t>
      </w:r>
    </w:p>
    <w:p>
      <w:pPr>
        <w:spacing w:after="0" w:line="21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 holder of ADSs which is not resident for tax purposes in the U.K. should not normally be liable to U.K. capital gains tax or corporation tax on chargeable gains on a disposal (or deemed disposal) of ADSs unless the person is carrying on (whether solely or in partnership) a trade, profession or vocation in the U.K. through a branch or agency (or, in the case of a corporate holder of ADSs, through a permanent establishment) to which the ADSs are attributable. However, an individual holder of ADSs who has ceased to be resident for tax purposes in the U.K. for a period of less than five years and who disposes of ADSs during that period may be liable on his or her return to the U.K. to U.K. tax on any capital gain realized (subject to any available exemption or relief).</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auto"/>
        </w:rPr>
        <w:t>The discussion below relates to the holders of our ordinary shares or ADSs wherever resident; however, it should be noted that special rules may apply to certain persons such as market makers, brokers, dealers or intermediaries.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Issue of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U.K. SDRT is generally payable on the issue of the ordinary shares underlying our ADSs.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Transfers of Shares</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An unconditional agreement to transfer ordinary shares in certificated form will normally give rise to a charge to SDRT at the rate of 0.5% of the amount or value of the consideration payable for the transfer. The purchaser of the shares is liable for the SDRT. Transfers of ordinary shares in certificated form are generally also subject to stamp duty at the rate of 0.5% of the amount or value of the consideration given for the transfer (rounded up to the next £5.00). Stamp duty is normally paid by the purchaser. The charge to SDRT will be cancelled or, if already paid, repaid (generally with interest), where a transfer instrument has been duly stamped within six years of the charge arising (either by paying the stamp duty or by claiming an appropriate relief) or if the instrument is otherwise exempt from stamp duty.</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An unconditional agreement to transfer ordinary shares to, or to a nominee or agent for, a person whose business is or includes the issue of depositary receipts or the provision of clearance services will generally be subject to SDRT (or, where the transfer is effected by a written instrument, stamp duty) at a higher rate of 1.5% of the amount or value of the consideration given for the transfer unless the clearance service has made and maintained an election under section 97A of the U.K. Finance Act 1986, in which case there will instead be a 0.5% SDRT charge on subsequent transfers of the ADSs within the system. It is understood that HMRC regards the facilities of DTC as a clearance service for these purposes and we are not aware of any section 97A election having been made by DTC.</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Any stamp duty or SDRT payable on a transfer of ordinary shares to a depositary receipt system or clearance service will in practice generally be paid by the transferors or participants in the clearance service or depositary receipt system.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Issue of ADSs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U.K. stamp duty or SDRT is payable on the issue of ADSs in the company.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Transfers of ADSs</w:t>
      </w:r>
    </w:p>
    <w:p>
      <w:pPr>
        <w:spacing w:after="0" w:line="11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No SDRT should be required to be paid on a paperless transfer of ADSs through the clearance service facilities, provided that no section 97A election has been made, and such ADSs are held through the clearance service facilities at the time of any agreement for their transfer.</w:t>
      </w:r>
    </w:p>
    <w:p>
      <w:pPr>
        <w:spacing w:after="0" w:line="12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No U.K. stamp duty will in practice be payable on a written instrument transferring an ADS provided that the instrument of transfer is executed and remains at all times outside the U.K. Where these conditions are not met, the transfer of, or agreement to transfer, an ADS could, depending on the circumstances, attract a charge to U.K. stamp duty at the rate of 0.5% of the amount or value of the consideration. If it is necessary to pay stamp duty, it may also be necessary to pay interest and penalties.</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20"/>
          </w:cols>
          <w:pgMar w:left="320" w:top="459" w:right="55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7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712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Confidential Treatment Requested by Arm Holdings Limited</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1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Pursuant to 17 C.F.R. Section 200.83</w:t>
            </w: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20" w:type="dxa"/>
            <w:vAlign w:val="bottom"/>
          </w:tcPr>
          <w:p>
            <w:pPr>
              <w:jc w:val="center"/>
              <w:ind w:left="310"/>
              <w:spacing w:after="0"/>
              <w:rPr>
                <w:sz w:val="20"/>
                <w:szCs w:val="20"/>
                <w:color w:val="auto"/>
              </w:rPr>
            </w:pPr>
            <w:r>
              <w:rPr>
                <w:rFonts w:ascii="Arial" w:cs="Arial" w:eastAsia="Arial" w:hAnsi="Arial"/>
                <w:sz w:val="18"/>
                <w:szCs w:val="18"/>
                <w:b w:val="1"/>
                <w:bCs w:val="1"/>
                <w:color w:val="auto"/>
              </w:rPr>
              <w:t>UNDERWRITING</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8"/>
        </w:trPr>
        <w:tc>
          <w:tcPr>
            <w:tcW w:w="8980" w:type="dxa"/>
            <w:vAlign w:val="bottom"/>
            <w:gridSpan w:val="3"/>
          </w:tcPr>
          <w:p>
            <w:pPr>
              <w:ind w:left="560"/>
              <w:spacing w:after="0"/>
              <w:rPr>
                <w:sz w:val="20"/>
                <w:szCs w:val="20"/>
                <w:color w:val="auto"/>
              </w:rPr>
            </w:pPr>
            <w:r>
              <w:rPr>
                <w:rFonts w:ascii="Arial" w:cs="Arial" w:eastAsia="Arial" w:hAnsi="Arial"/>
                <w:sz w:val="18"/>
                <w:szCs w:val="18"/>
                <w:color w:val="auto"/>
                <w:w w:val="95"/>
              </w:rPr>
              <w:t>The selling shareholders are offering the ADSs described in this prospectus through a number of underwriters.</w:t>
            </w: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30"/>
        </w:trPr>
        <w:tc>
          <w:tcPr>
            <w:tcW w:w="1860" w:type="dxa"/>
            <w:vAlign w:val="bottom"/>
            <w:gridSpan w:val="2"/>
          </w:tcPr>
          <w:p>
            <w:pPr>
              <w:ind w:left="1020"/>
              <w:spacing w:after="0"/>
              <w:rPr>
                <w:sz w:val="20"/>
                <w:szCs w:val="20"/>
                <w:color w:val="auto"/>
              </w:rPr>
            </w:pPr>
            <w:r>
              <w:rPr>
                <w:rFonts w:ascii="Arial" w:cs="Arial" w:eastAsia="Arial" w:hAnsi="Arial"/>
                <w:sz w:val="18"/>
                <w:szCs w:val="18"/>
                <w:color w:val="auto"/>
              </w:rPr>
              <w:t>, and</w:t>
            </w:r>
          </w:p>
        </w:tc>
        <w:tc>
          <w:tcPr>
            <w:tcW w:w="9060" w:type="dxa"/>
            <w:vAlign w:val="bottom"/>
            <w:gridSpan w:val="3"/>
          </w:tcPr>
          <w:p>
            <w:pPr>
              <w:jc w:val="right"/>
              <w:spacing w:after="0"/>
              <w:rPr>
                <w:sz w:val="20"/>
                <w:szCs w:val="20"/>
                <w:color w:val="auto"/>
              </w:rPr>
            </w:pPr>
            <w:r>
              <w:rPr>
                <w:rFonts w:ascii="Arial" w:cs="Arial" w:eastAsia="Arial" w:hAnsi="Arial"/>
                <w:sz w:val="18"/>
                <w:szCs w:val="18"/>
                <w:color w:val="auto"/>
                <w:w w:val="95"/>
              </w:rPr>
              <w:t>are acting as joint book-running managers of the offering and as representatives of the underwriters. We and the selling</w:t>
            </w:r>
          </w:p>
        </w:tc>
      </w:tr>
    </w:tbl>
    <w:p>
      <w:pPr>
        <w:ind w:left="120"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shareholders have entered into an underwriting agreement with the underwriters. Subject to the terms and conditions of the underwriting agreement, the selling shareholders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211" w:lineRule="exact"/>
        <w:rPr>
          <w:sz w:val="20"/>
          <w:szCs w:val="20"/>
          <w:color w:val="auto"/>
        </w:rPr>
      </w:pPr>
    </w:p>
    <w:p>
      <w:pPr>
        <w:ind w:left="1880"/>
        <w:spacing w:after="0"/>
        <w:tabs>
          <w:tab w:leader="none" w:pos="8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289560</wp:posOffset>
            </wp:positionV>
            <wp:extent cx="4749165"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14605</wp:posOffset>
            </wp:positionV>
            <wp:extent cx="6686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31750</wp:posOffset>
            </wp:positionV>
            <wp:extent cx="6686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5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underwriters are committed to purchase all of the ADSs offered by the selling shareholders if they purchase any ADSs. However, the underwriters are not required to purchase the ADSs covered by the underwriters’ option to purchase additional ADSs described below. The underwriting agreement also provides that if an underwriter defaults, the purchase commitments of non-defaulting underwriters may also be increased or the offering may be terminated.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ADSs directly to the public at the initial public offering price set forth on the cover page of this prospectus</w:t>
      </w:r>
    </w:p>
    <w:p>
      <w:pPr>
        <w:spacing w:after="0" w:line="46" w:lineRule="exact"/>
        <w:rPr>
          <w:sz w:val="20"/>
          <w:szCs w:val="20"/>
          <w:color w:val="auto"/>
        </w:rPr>
      </w:pPr>
    </w:p>
    <w:p>
      <w:pPr>
        <w:ind w:left="120"/>
        <w:spacing w:after="0"/>
        <w:tabs>
          <w:tab w:leader="none" w:pos="5500" w:val="left"/>
        </w:tabs>
        <w:rPr>
          <w:sz w:val="20"/>
          <w:szCs w:val="20"/>
          <w:color w:val="auto"/>
        </w:rPr>
      </w:pPr>
      <w:r>
        <w:rPr>
          <w:rFonts w:ascii="Arial" w:cs="Arial" w:eastAsia="Arial" w:hAnsi="Arial"/>
          <w:sz w:val="18"/>
          <w:szCs w:val="18"/>
          <w:color w:val="auto"/>
        </w:rPr>
        <w:t>and to certain dealers at that price less a concession not in excess of $</w:t>
      </w:r>
      <w:r>
        <w:rPr>
          <w:sz w:val="20"/>
          <w:szCs w:val="20"/>
          <w:color w:val="auto"/>
        </w:rPr>
        <w:tab/>
      </w:r>
      <w:r>
        <w:rPr>
          <w:rFonts w:ascii="Arial" w:cs="Arial" w:eastAsia="Arial" w:hAnsi="Arial"/>
          <w:sz w:val="16"/>
          <w:szCs w:val="16"/>
          <w:color w:val="auto"/>
        </w:rPr>
        <w:t>per ADS. Any such dealers may resell ADSs to certain other brokers or</w:t>
      </w:r>
    </w:p>
    <w:p>
      <w:pPr>
        <w:spacing w:after="0" w:line="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dealers at a discount of up to $ per ADS from the initial public offering price. After the initial offering of the ADSs to the public, if all of the ADSs are not sold at the initial public offering price, the underwriters may change the offering price and the other selling terms. Sales of any ADSs made outside of the U.S. may be made by affiliates of the underwriters.</w:t>
      </w:r>
    </w:p>
    <w:p>
      <w:pPr>
        <w:spacing w:after="0" w:line="19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underwriters have an option to buy up to additional ADSs from the selling shareholders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ADS less the amount paid by the underwriters to the selling shareholders per ADS.</w:t>
      </w:r>
    </w:p>
    <w:p>
      <w:pPr>
        <w:spacing w:after="0" w:line="46"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The underwriting fee is $ per ADS. The following table shows the per ADS and total underwriting discounts and commissions to be paid to the underwriters assuming both no exercise and full exercise of the underwriters’ option to purchase additional ADSs.</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Without</w:t>
            </w:r>
          </w:p>
        </w:tc>
        <w:tc>
          <w:tcPr>
            <w:tcW w:w="10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With full</w:t>
            </w:r>
          </w:p>
        </w:tc>
      </w:tr>
      <w:tr>
        <w:trPr>
          <w:trHeight w:val="149"/>
        </w:trPr>
        <w:tc>
          <w:tcPr>
            <w:tcW w:w="28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104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option to purchase</w:t>
            </w:r>
          </w:p>
        </w:tc>
      </w:tr>
      <w:tr>
        <w:trPr>
          <w:trHeight w:val="148"/>
        </w:trPr>
        <w:tc>
          <w:tcPr>
            <w:tcW w:w="28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 ADSs</w:t>
            </w:r>
          </w:p>
        </w:tc>
        <w:tc>
          <w:tcPr>
            <w:tcW w:w="10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additional ADSs</w:t>
            </w:r>
          </w:p>
        </w:tc>
      </w:tr>
      <w:tr>
        <w:trPr>
          <w:trHeight w:val="171"/>
        </w:trPr>
        <w:tc>
          <w:tcPr>
            <w:tcW w:w="2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10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exercise</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2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6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84"/>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tcPr>
          <w:p>
            <w:pPr>
              <w:jc w:val="right"/>
              <w:ind w:right="964"/>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98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estimate that the total expenses of this offering payable by us, including registration, filing and listing fees, printing fees and legal and accounting expenses, but excluding the underwriting discounts and commissions, will be approximately $ .</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46" w:right="4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80"/>
        <w:spacing w:after="0" w:line="287" w:lineRule="auto"/>
        <w:rPr>
          <w:sz w:val="20"/>
          <w:szCs w:val="20"/>
          <w:color w:val="auto"/>
        </w:rPr>
      </w:pPr>
      <w:r>
        <w:rPr>
          <w:rFonts w:ascii="Arial" w:cs="Arial" w:eastAsia="Arial" w:hAnsi="Arial"/>
          <w:sz w:val="16"/>
          <w:szCs w:val="16"/>
          <w:color w:val="auto"/>
        </w:rPr>
        <w:t>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 We have agreed to reimburse the underwriters for expenses relating to clearance of this offering with Financial Industry Regulatory Authority, Inc.</w:t>
      </w:r>
    </w:p>
    <w:p>
      <w:pPr>
        <w:spacing w:after="0" w:line="2" w:lineRule="exact"/>
        <w:rPr>
          <w:sz w:val="20"/>
          <w:szCs w:val="20"/>
          <w:color w:val="auto"/>
        </w:rPr>
      </w:pPr>
    </w:p>
    <w:p>
      <w:pPr>
        <w:ind w:left="120"/>
        <w:spacing w:after="0"/>
        <w:tabs>
          <w:tab w:leader="none" w:pos="2620" w:val="left"/>
        </w:tabs>
        <w:rPr>
          <w:sz w:val="20"/>
          <w:szCs w:val="20"/>
          <w:color w:val="auto"/>
        </w:rPr>
      </w:pPr>
      <w:r>
        <w:rPr>
          <w:rFonts w:ascii="Arial" w:cs="Arial" w:eastAsia="Arial" w:hAnsi="Arial"/>
          <w:sz w:val="18"/>
          <w:szCs w:val="18"/>
          <w:color w:val="auto"/>
        </w:rPr>
        <w:t>(“FINRA”) for up to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240" w:firstLine="440"/>
        <w:spacing w:after="0" w:line="274" w:lineRule="auto"/>
        <w:rPr>
          <w:sz w:val="20"/>
          <w:szCs w:val="20"/>
          <w:color w:val="auto"/>
        </w:rPr>
      </w:pPr>
      <w:r>
        <w:rPr>
          <w:rFonts w:ascii="Arial" w:cs="Arial" w:eastAsia="Arial" w:hAnsi="Arial"/>
          <w:sz w:val="17"/>
          <w:szCs w:val="17"/>
          <w:color w:val="auto"/>
        </w:rPr>
        <w:t>We, our directors and executive officers and the selling shareholders have agreed that, without the prior written consent of , we and they will not, subject to certain exceptions, for a period of days after the date of this prospectus, offer, pledge, sell, contract to sell, sell any</w:t>
      </w:r>
    </w:p>
    <w:p>
      <w:pPr>
        <w:ind w:left="120"/>
        <w:spacing w:after="0"/>
        <w:rPr>
          <w:sz w:val="20"/>
          <w:szCs w:val="20"/>
          <w:color w:val="auto"/>
        </w:rPr>
      </w:pPr>
      <w:r>
        <w:rPr>
          <w:rFonts w:ascii="Arial" w:cs="Arial" w:eastAsia="Arial" w:hAnsi="Arial"/>
          <w:sz w:val="17"/>
          <w:szCs w:val="17"/>
          <w:color w:val="auto"/>
        </w:rPr>
        <w:t>option or contract to purchase, purchase any option or contract to sell, grant any option, right or warrant to purchase, lend or otherwise transfer or</w:t>
      </w:r>
    </w:p>
    <w:p>
      <w:pPr>
        <w:spacing w:after="0" w:line="39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dispose of, directly or indirectly, any ADSs or any securities convertible into or exercisable or exchangeable for our ADSs. may release the securities subject to any of the lock-up agreements with the underwriters described above, in whole or in part at any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and the selling shareholders have agreed to indemnify the underwriters against certain liabilities, including liabilities under the Securities Act.</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apply to have our ADSs approved for listing/quotation on the Nasdaq Global Select Market under the symbol “ARM”.</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ADSs, which involves the sale by the underwriters of a greater number of ADSs than they are required to 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ADSs in the open market that could adversely affect investors who purchase in this offering. To the extent that the underwriters create a naked short position, they will purchase ADSs in the open market to cover the position.</w:t>
      </w:r>
    </w:p>
    <w:p>
      <w:pPr>
        <w:spacing w:after="0" w:line="17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ADSs as part of this offering to repay the underwriting discount received by them.</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ADSs. The initial public offering price will be determined by negotiations among us, the selling shareholders and the representatives of the underwriters. In determining the initial public offering price, we, the selling shareholders and the representatives of the underwriters expect to consider a number of factors, including:</w:t>
      </w:r>
    </w:p>
    <w:p>
      <w:pPr>
        <w:spacing w:after="0" w:line="89" w:lineRule="exact"/>
        <w:rPr>
          <w:sz w:val="20"/>
          <w:szCs w:val="20"/>
          <w:color w:val="auto"/>
        </w:rPr>
      </w:pPr>
    </w:p>
    <w:p>
      <w:pPr>
        <w:ind w:left="5600" w:right="3620" w:hanging="4944"/>
        <w:spacing w:after="0" w:line="449" w:lineRule="auto"/>
        <w:tabs>
          <w:tab w:leader="none" w:pos="10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 190</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the selling shareholders and us.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the selling shareholders and the underwriters cannot assure investors that an active trading market will develop for our ADSs, or that the ADSs will trade in the public market at or above the initial public offering price.</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Other than in the U.S., no action has been taken by us, the selling shareholders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6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Certain of the underwriters and their affiliates have provided in the past to us, the selling shareholders and our and their respective affiliates and may provide from time to time in the future certain commercial banking, financial advisory, investment banking and other services for us, the selling shareholders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relation to each Member State of the EEA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EU Prospectus Regulation, except that offers of ADSs may be made to the public in that Relevant State at any time under the following exemptions under the EU Prospectus Regulation:</w:t>
      </w:r>
    </w:p>
    <w:p>
      <w:pPr>
        <w:spacing w:after="0" w:line="93"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EU Prospectus Regulation;</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EU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2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ADSs shall require us, the selling shareholders or any underwriter to publish a prospectus pursuant to Article 3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EU Prospectus Regulation or supplement a prospectus pursuant to Article 23 of the EU Prospectus Regulation. Each person who initially acquires any ADSs or to whom any offer is made</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00"/>
          </w:cols>
          <w:pgMar w:left="320" w:top="459" w:right="57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will be deemed to have represented, acknowledged and agreed to and with each of the underwriters and their affiliates and us and the selling shareholders that it is a “qualified investor” within the meaning of Article 2I of the EU Prospectus Regulation. In the case of any ADSs being offered to a financial intermediary as that term is used in Article 5 of the EU Prospectus Regulation, each such financial intermediary will be deemed to have represented, acknowledged and agreed that the ADSs acquired by it in this offering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representatives have been obtained to each such proposed offer or resale.</w:t>
      </w:r>
    </w:p>
    <w:p>
      <w:pPr>
        <w:spacing w:after="0" w:line="17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“EU Prospectus Regulation” means Regulation (EU) 2017/1129.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U.K.</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No ADSs have been offered or will be offered pursuant to the offering to the public in the U.K. prior to the publication of a prospectus in relation to the ADSs which has been approved by the Financial Conduct Authority in accordance with the U.K. Prospectus Regulation (as defined below), except that the ADSs may be offered to the public in the U.K. at any time:</w:t>
      </w:r>
    </w:p>
    <w:p>
      <w:pPr>
        <w:spacing w:after="0" w:line="8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the ADSs shall require us, the selling shareholders or any underwriter to publish a prospectus pursuant to Section 85</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FSMA or supplement a prospectus pursuant to Article 23 of the U.K. Prospectus Regulation. For the purposes of this provision, the expression an “offer to the public” in relation to the ADSs in the U.K.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6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in the U.K., this prospectus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U.K. within the meaning of the FSMA.</w:t>
      </w:r>
    </w:p>
    <w:p>
      <w:pPr>
        <w:spacing w:after="0" w:line="178"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Any person in the U.K. that is not a relevant person should not act or rely on the information included in this document or use it as basis for taking any action. In the U.K., any investment or investment activity that this prospectus relates to may be made or taken exclusively by relevant persons.</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ADSs may not be publicly offered in Switzerland and will not be listed on the SIX Swiss Exchange (“SIX”) or on any other stock exchange or regulated trading facility in Switzerland. This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ADSs or the offering may be publicly distributed or otherwise made publicly available in Switzerland.</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the ADSs have been or will be filed with or approved by any Swiss regulatory authority. In particular, this prospectus will not be filed with, and the offer of ADSs will not be supervised by, the Swiss Financial Market Supervisory Authority FINMA (FINMA), and the offer of ADSs has not been and will not be authorized under the Swiss Federal Act on Collective Investment Schemes (the “CISA”). The investor protection afforded to acquirers of interests in collective investment schemes under the CISA does not extend to acquirers of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 (DIFC)</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6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9" w:right="49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4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and the selling shareholders that you are an Exempt Investor.</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any offer of ADSs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and the selling shareholders that you will not, for a period of 12 months from the date of issue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the Laws of Hong Kong) of Hong Kong (the “SFO”)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080" w:right="100" w:hanging="424"/>
        <w:spacing w:after="0" w:line="308"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9"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6" w:lineRule="exact"/>
        <w:rPr>
          <w:rFonts w:ascii="Arial" w:cs="Arial" w:eastAsia="Arial" w:hAnsi="Arial"/>
          <w:sz w:val="16"/>
          <w:szCs w:val="16"/>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EXPENSES RELATED TO THE OFFERING</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Set forth below is an itemization of the total expenses, excluding the underwriting discounts and commissions, which are expected to be incurred in connection with the sale of ADSs in this offering, With the exception of the registration fee payable to the SEC, the Nasdaq listing fee and the filing fee payable to FINRA, all amounts are estimates.</w:t>
      </w:r>
    </w:p>
    <w:p>
      <w:pPr>
        <w:sectPr>
          <w:pgSz w:w="11900" w:h="16838" w:orient="portrait"/>
          <w:cols w:equalWidth="0" w:num="1">
            <w:col w:w="11000"/>
          </w:cols>
          <w:pgMar w:left="320" w:top="459" w:right="579" w:bottom="1440" w:gutter="0" w:footer="0" w:header="0"/>
        </w:sectPr>
      </w:pP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4"/>
          <w:szCs w:val="14"/>
          <w:u w:val="single" w:color="auto"/>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12700</wp:posOffset>
            </wp:positionV>
            <wp:extent cx="4749165" cy="145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Miscellaneous fees and expenses</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Total</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Amount</w:t>
      </w:r>
    </w:p>
    <w:p>
      <w:pPr>
        <w:spacing w:after="0" w:line="21" w:lineRule="exact"/>
        <w:rPr>
          <w:sz w:val="20"/>
          <w:szCs w:val="20"/>
          <w:color w:val="auto"/>
        </w:rPr>
      </w:pPr>
    </w:p>
    <w:p>
      <w:pPr>
        <w:ind w:left="680" w:hanging="680"/>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375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 w:lineRule="exact"/>
        <w:rPr>
          <w:sz w:val="20"/>
          <w:szCs w:val="20"/>
          <w:color w:val="auto"/>
        </w:rPr>
      </w:pPr>
    </w:p>
    <w:p>
      <w:pPr>
        <w:ind w:left="680" w:hanging="680"/>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375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375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ectPr>
          <w:pgSz w:w="11900" w:h="16838" w:orient="portrait"/>
          <w:cols w:equalWidth="0" w:num="2">
            <w:col w:w="7820" w:space="720"/>
            <w:col w:w="2460"/>
          </w:cols>
          <w:pgMar w:left="320" w:top="459" w:right="579"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validity of the ADSs being offered by this prospectus and certain other matters of English law will be passed upon for us by Morrison &amp; Foerster (UK) LLP and certain other matters of U.S. federal law will be passed upon for us by Morrison &amp; Foerster LLP. SoftBank has been advised as to certain legal matters by Sullivan &amp; Cromwell LLP. SoftBank Vision Fund has been advised as to certain legal matters by White &amp; Case LLP. Certain legal matters related to this offering will be passed upon for the underwriters by Davis Polk &amp; Wardwell LLP.</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consolidated financial statements of Arm Limited as of March 31, 2022, and for each of the two years in the period ended March 31, 2022, included in this Prospectus have been audited by Deloitte &amp; Touche LLP, an independent registered public accounting firm, as stated in their report. Such consolidated financial statements are included in reliance upon the report of such firm given their authority as experts in accounting and auditing.</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registered business address of Deloitte &amp; Touche LLP is 225 West Santa Clara Street, Suite 600, San Jose, CA 95113-1728, USA.</w:t>
      </w:r>
    </w:p>
    <w:p>
      <w:pPr>
        <w:spacing w:after="0" w:line="16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20"/>
          </w:cols>
          <w:pgMar w:left="320" w:top="459" w:right="5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incorporated and currently existing under the laws of England and Wales.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Uncertainty exists as to whether the courts of England and Wales would:</w:t>
      </w:r>
    </w:p>
    <w:p>
      <w:pPr>
        <w:spacing w:after="0" w:line="131" w:lineRule="exact"/>
        <w:rPr>
          <w:sz w:val="20"/>
          <w:szCs w:val="20"/>
          <w:color w:val="auto"/>
        </w:rPr>
      </w:pPr>
    </w:p>
    <w:p>
      <w:pPr>
        <w:ind w:left="1080" w:right="2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recognize or enforce judgments of U.S. courts obtained against us or our directors or officers predicated upon the civil liabilities provisions of the securities laws of the U.S. or any state in the U.S.; or</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entertain original actions brought in England and Wales against us or our directors or officers predicated upon the securities laws of the U.S. or any state in the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been advised by Morrison &amp; Foerster (UK) LLP and Morrison &amp; Foerster LLP that there is currently no treaty between (i) the U.S. and</w:t>
      </w:r>
    </w:p>
    <w:p>
      <w:pPr>
        <w:spacing w:after="0" w:line="46" w:lineRule="exact"/>
        <w:rPr>
          <w:sz w:val="20"/>
          <w:szCs w:val="20"/>
          <w:color w:val="auto"/>
        </w:rPr>
      </w:pPr>
    </w:p>
    <w:p>
      <w:pPr>
        <w:ind w:left="120" w:right="20" w:hanging="4"/>
        <w:spacing w:after="0" w:line="268" w:lineRule="auto"/>
        <w:tabs>
          <w:tab w:leader="none" w:pos="38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England and Wales providing for reciprocal recognition and enforcement of judgments of U.S. courts in civil and commercial matters (although the U.S. and the U.K. are both parties to the New York Convention on the Recognition and Enforcement of Foreign Arbitral Awards) and that a final judgment for the payment of money rendered by any general or state court in the U.S. based on civil liability, whether or not predicated solely upon U.S. securities laws, would not be automatically enforceable in England and Wales. We have also been advised by Morrison &amp; Foerster (UK) LLP and Morrison &amp; Foerster LLP that any final and conclusive monetary judgment for a definite sum obtained against us in the U.S. courts would be treated by the courts of England and Wales as a cause of action in itself and sued upon as a debt at common law so that no retrial of the issues would be necessary, provided that certain preconditions are met, including, but not limited to, that the relevant U.S. court had jurisdiction over the original proceeding according to English conflicts of laws principles and that the U.S. judgment was final and not procured by fraud.</w:t>
      </w:r>
    </w:p>
    <w:p>
      <w:pPr>
        <w:spacing w:after="0" w:line="183"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Whether the preconditions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14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It should also be noted that in the courts of England and Wales the usual rule is that the losing party is ordered to pay the legal costs of the litigation that were incurred by the successful party. These costs are assessed by the courts of England and Wales at the conclusion of the litigation.</w:t>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A related registration statement on Form F-6 will be filed with the SEC to register the ADSs. This prospectus, which forms a part of the registration statement on Form F-1, does not contain all of the information included in the registration statement on Form F-1 and the exhibits and schedules to the registration statement on Form F-1. Certain information is omitted and you should refer to the registration statement on Form F-1and its exhibits and schedules for that information. If a document has been filed as an exhibit to the registration statement on Form F-1, we refer you to the copy of the document that has been filed. Each statement in this prospectus relating to a document filed as an exhibit is qualified in all respects by the filed exhibit.</w:t>
      </w:r>
    </w:p>
    <w:p>
      <w:pPr>
        <w:spacing w:after="0" w:line="195" w:lineRule="exact"/>
        <w:rPr>
          <w:sz w:val="20"/>
          <w:szCs w:val="20"/>
          <w:color w:val="auto"/>
        </w:rPr>
      </w:pPr>
    </w:p>
    <w:p>
      <w:pPr>
        <w:jc w:val="both"/>
        <w:ind w:left="120" w:right="40" w:firstLine="440"/>
        <w:spacing w:after="0" w:line="293"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applicable to foreign private issuers. Accordingly, we will be required to file reports and other information with the SEC, including annual reports on Form 20-F and current reports on Form 6-K. You can read our SEC filings, including the registration statement on Form F-1, at the SEC’s website at www.sec.gov. We also maintain a corporate website at www.arm.com and, upon the closing of this offering, you may access, free of charge, our annual reports on Form 20-F and current reports on Form 6-K and any amendments to those reports, as soon as reasonably practicable after such material is electronically filed with, or furnished to, the SEC. We have included our website address in this prospectus solely as an inactive textual reference.</w:t>
      </w:r>
    </w:p>
    <w:p>
      <w:pPr>
        <w:spacing w:after="0" w:line="164"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under the Exchange Act. Since many of the disclosure obligations required of us as a foreign private issuer are different than those required of U.S. domestic reporting companies, our shareholders, potential shareholders and the investing public in general should not expect to receive information about us in the same amount, or at the same time, as information is received from, or provided by, U.S. domestic reporting companies. We are only liable for violations of the rules and regulations of the SEC that apply to us as a foreign private issuer.</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will send the depositary a copy of all notices of shareholders meetings and other reports, communications and information that are made generally available to shareholders. The depositary has agreed to mail to all holders of ADSs a notice containing the information (or a summary of the information) contained in any notice of a meeting of our shareholders received by the depositary and will make available to all holders of ADSs such notices and all such other reports and communications received by the depositary.</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422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91"/>
              </w:rPr>
              <w:t>Report of Independent Registered Public Accounting Firm</w:t>
            </w:r>
          </w:p>
        </w:tc>
        <w:tc>
          <w:tcPr>
            <w:tcW w:w="4820" w:type="dxa"/>
            <w:vAlign w:val="bottom"/>
            <w:gridSpan w:val="5"/>
          </w:tcPr>
          <w:p>
            <w:pPr>
              <w:spacing w:after="0"/>
              <w:rPr>
                <w:sz w:val="16"/>
                <w:szCs w:val="16"/>
                <w:color w:val="auto"/>
              </w:rPr>
            </w:pPr>
          </w:p>
        </w:tc>
        <w:tc>
          <w:tcPr>
            <w:tcW w:w="19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304"/>
        </w:trPr>
        <w:tc>
          <w:tcPr>
            <w:tcW w:w="9040" w:type="dxa"/>
            <w:vAlign w:val="bottom"/>
            <w:gridSpan w:val="8"/>
          </w:tcPr>
          <w:p>
            <w:pPr>
              <w:spacing w:after="0"/>
              <w:rPr>
                <w:sz w:val="20"/>
                <w:szCs w:val="20"/>
                <w:color w:val="auto"/>
              </w:rPr>
            </w:pPr>
            <w:r>
              <w:rPr>
                <w:rFonts w:ascii="Arial" w:cs="Arial" w:eastAsia="Arial" w:hAnsi="Arial"/>
                <w:sz w:val="18"/>
                <w:szCs w:val="18"/>
                <w:color w:val="0000EE"/>
              </w:rPr>
              <w:t>Consolidated Income Statements for the fiscal years ended March 31, 2022 and 2021</w:t>
            </w:r>
          </w:p>
        </w:tc>
        <w:tc>
          <w:tcPr>
            <w:tcW w:w="19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3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9040" w:type="dxa"/>
            <w:vAlign w:val="bottom"/>
            <w:gridSpan w:val="8"/>
          </w:tcPr>
          <w:p>
            <w:pPr>
              <w:spacing w:after="0"/>
              <w:rPr>
                <w:sz w:val="20"/>
                <w:szCs w:val="20"/>
                <w:color w:val="auto"/>
              </w:rPr>
            </w:pPr>
            <w:r>
              <w:rPr>
                <w:rFonts w:ascii="Arial" w:cs="Arial" w:eastAsia="Arial" w:hAnsi="Arial"/>
                <w:sz w:val="18"/>
                <w:szCs w:val="18"/>
                <w:color w:val="0000EE"/>
              </w:rPr>
              <w:t>Consolidated Statements of Comprehensive Income for the fiscal years ended March 31, 2022 and 2021</w:t>
            </w:r>
          </w:p>
        </w:tc>
        <w:tc>
          <w:tcPr>
            <w:tcW w:w="19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36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Consolidated Balance Sheet as of March 31, 2022</w:t>
            </w:r>
          </w:p>
        </w:tc>
        <w:tc>
          <w:tcPr>
            <w:tcW w:w="3880" w:type="dxa"/>
            <w:vAlign w:val="bottom"/>
            <w:tcBorders>
              <w:top w:val="single" w:sz="8" w:color="0000EE"/>
            </w:tcBorders>
            <w:gridSpan w:val="5"/>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73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Consolidated Statements of Shareholders’ Equity for the fiscal years ended March 31, 2022 and 2021</w:t>
            </w:r>
          </w:p>
        </w:tc>
        <w:tc>
          <w:tcPr>
            <w:tcW w:w="174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66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Consolidated Statements of Cash Flows for the fiscal years ended March 31, 2022 and 2021</w:t>
            </w:r>
          </w:p>
        </w:tc>
        <w:tc>
          <w:tcPr>
            <w:tcW w:w="242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304"/>
        </w:trPr>
        <w:tc>
          <w:tcPr>
            <w:tcW w:w="9040" w:type="dxa"/>
            <w:vAlign w:val="bottom"/>
            <w:gridSpan w:val="8"/>
          </w:tcPr>
          <w:p>
            <w:pPr>
              <w:spacing w:after="0"/>
              <w:rPr>
                <w:sz w:val="20"/>
                <w:szCs w:val="20"/>
                <w:color w:val="auto"/>
              </w:rPr>
            </w:pPr>
            <w:r>
              <w:rPr>
                <w:rFonts w:ascii="Arial" w:cs="Arial" w:eastAsia="Arial" w:hAnsi="Arial"/>
                <w:sz w:val="18"/>
                <w:szCs w:val="18"/>
                <w:color w:val="0000EE"/>
              </w:rPr>
              <w:t>Notes to the Consolidated Financial Statements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385"/>
        </w:trPr>
        <w:tc>
          <w:tcPr>
            <w:tcW w:w="3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20" w:type="dxa"/>
            <w:vAlign w:val="bottom"/>
            <w:gridSpan w:val="5"/>
          </w:tcPr>
          <w:p>
            <w:pPr>
              <w:ind w:left="1280"/>
              <w:spacing w:after="0"/>
              <w:rPr>
                <w:sz w:val="20"/>
                <w:szCs w:val="20"/>
                <w:color w:val="auto"/>
              </w:rPr>
            </w:pPr>
            <w:r>
              <w:rPr>
                <w:rFonts w:ascii="Arial" w:cs="Arial" w:eastAsia="Arial" w:hAnsi="Arial"/>
                <w:sz w:val="18"/>
                <w:szCs w:val="18"/>
                <w:color w:val="auto"/>
              </w:rPr>
              <w:t>F-1</w:t>
            </w:r>
          </w:p>
        </w:tc>
        <w:tc>
          <w:tcPr>
            <w:tcW w:w="19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82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Arm Limited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380"/>
        <w:spacing w:after="0" w:line="291" w:lineRule="auto"/>
        <w:rPr>
          <w:sz w:val="20"/>
          <w:szCs w:val="20"/>
          <w:color w:val="auto"/>
        </w:rPr>
      </w:pPr>
      <w:r>
        <w:rPr>
          <w:rFonts w:ascii="Arial" w:cs="Arial" w:eastAsia="Arial" w:hAnsi="Arial"/>
          <w:sz w:val="16"/>
          <w:szCs w:val="16"/>
          <w:color w:val="auto"/>
        </w:rPr>
        <w:t>We have audited the accompanying consolidated balance sheet of Arm Limited and subsidiaries (the “Company”) as of March 31, 2022, the related consolidated statements of income, comprehensive income, shareholders’ equity, and cash flows, for each of the two years in the period ended</w:t>
      </w:r>
    </w:p>
    <w:p>
      <w:pPr>
        <w:ind w:left="120" w:right="20"/>
        <w:spacing w:after="0" w:line="277" w:lineRule="auto"/>
        <w:rPr>
          <w:sz w:val="20"/>
          <w:szCs w:val="20"/>
          <w:color w:val="auto"/>
        </w:rPr>
      </w:pPr>
      <w:r>
        <w:rPr>
          <w:rFonts w:ascii="Arial" w:cs="Arial" w:eastAsia="Arial" w:hAnsi="Arial"/>
          <w:sz w:val="17"/>
          <w:szCs w:val="17"/>
          <w:color w:val="auto"/>
        </w:rPr>
        <w:t>March 31, 2022, and the related notes (collectively referred to as the “financial statements”). In our opinion, the financial statements present fairly, in all material respects, the financial position of the Company as of March 31, 2022, and the results of its operations and its cash flows for each of the two years in the period ended March 31, 2022, in conformity with accounting principles generally accepted in the United States of America.</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w:t>
      </w:r>
    </w:p>
    <w:p>
      <w:pPr>
        <w:ind w:left="120" w:right="20" w:hanging="4"/>
        <w:spacing w:after="0" w:line="255" w:lineRule="auto"/>
        <w:tabs>
          <w:tab w:leader="none" w:pos="37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Recognition-License and Other Revenue-Refer to Notes 1, 3 and 21 to the Consolidated Financial Statements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Many of the Company’s revenue arrangements involve multiple performance obligations consisting of products and services such as intellectual property licenses, software licenses, support, training, and professional and</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design services. New arrangements with existing customers can be based on either a new contract or modification of prior contracts. Determining the appropriate revenue recognition for the Company’s contracts and modifications may involve significant judgments by management, including determining whether the Company’s contracts represent new contracts or the modification of pre-existing contracts, whether certain performance obligations are separate or should be combined and the portion of the transaction price that should be allocated to performance obligations, which may impact the amount and timing of revenue recognition.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Given that the evaluation of whether contracts represent new contracts or the modification of pre-existing contracts, whether certain performance obligations are separate or should be combined and the portion of the transaction price that should be allocated to performance obligations in accordance with revenue recognition guidance was complex and required significant management judgment, performing audit procedures required a high degree of auditor judgment and an increased extent of effort, including the need to involve professionals in our firm having expertise in revenue recognition.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Our audit procedures related to management’s evaluation of whether contracts represent new contracts or the modification of pre-existing contracts, whether certain performance obligations are separate or should be combined and the portion of the transaction price that should be allocated to performance obligations included the following, among others:</w:t>
      </w:r>
    </w:p>
    <w:p>
      <w:pPr>
        <w:spacing w:after="0" w:line="89"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a sample of contracts with customers, we performed the following, among others:</w:t>
      </w:r>
    </w:p>
    <w:p>
      <w:pPr>
        <w:spacing w:after="0" w:line="130" w:lineRule="exact"/>
        <w:rPr>
          <w:rFonts w:ascii="Arial" w:cs="Arial" w:eastAsia="Arial" w:hAnsi="Arial"/>
          <w:sz w:val="18"/>
          <w:szCs w:val="18"/>
          <w:color w:val="auto"/>
        </w:rPr>
      </w:pPr>
    </w:p>
    <w:p>
      <w:pPr>
        <w:ind w:left="1540" w:right="600" w:hanging="331"/>
        <w:spacing w:after="0" w:line="277"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Obtained and read the contract, including master agreements, amendments, purchase and sales order agreements, and related contracts.</w:t>
      </w:r>
    </w:p>
    <w:p>
      <w:pPr>
        <w:spacing w:after="0" w:line="75" w:lineRule="exact"/>
        <w:rPr>
          <w:rFonts w:ascii="Arial" w:cs="Arial" w:eastAsia="Arial" w:hAnsi="Arial"/>
          <w:sz w:val="18"/>
          <w:szCs w:val="18"/>
          <w:color w:val="auto"/>
        </w:rPr>
      </w:pPr>
    </w:p>
    <w:p>
      <w:pPr>
        <w:jc w:val="both"/>
        <w:ind w:left="1540" w:right="140" w:hanging="331"/>
        <w:spacing w:after="0" w:line="263"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We evaluated whether management properly determined whether the contract should be treated as a new contract or a modification of a pre-existing contract, including evaluating multiple contracts entered into with the same customer and whether those contracts were entered into at, or near, the same time and were interrelated.</w:t>
      </w:r>
    </w:p>
    <w:p>
      <w:pPr>
        <w:spacing w:after="0" w:line="89" w:lineRule="exact"/>
        <w:rPr>
          <w:rFonts w:ascii="Arial" w:cs="Arial" w:eastAsia="Arial" w:hAnsi="Arial"/>
          <w:sz w:val="18"/>
          <w:szCs w:val="18"/>
          <w:color w:val="auto"/>
        </w:rPr>
      </w:pPr>
    </w:p>
    <w:p>
      <w:pPr>
        <w:ind w:left="1540" w:right="240" w:hanging="331"/>
        <w:spacing w:after="0" w:line="342" w:lineRule="auto"/>
        <w:tabs>
          <w:tab w:leader="none" w:pos="15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Requested and obtained responses to confirmations of contracts directly from the Company’s customers. If a response was not received, we performed alternative procedures including obtaining sales certifications to ensure no additional agreements existed.</w:t>
      </w:r>
    </w:p>
    <w:p>
      <w:pPr>
        <w:spacing w:after="0" w:line="29" w:lineRule="exact"/>
        <w:rPr>
          <w:rFonts w:ascii="Arial" w:cs="Arial" w:eastAsia="Arial" w:hAnsi="Arial"/>
          <w:sz w:val="16"/>
          <w:szCs w:val="16"/>
          <w:color w:val="auto"/>
        </w:rPr>
      </w:pPr>
    </w:p>
    <w:p>
      <w:pPr>
        <w:ind w:left="1540" w:right="260" w:hanging="331"/>
        <w:spacing w:after="0" w:line="277"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We evaluated management’s identification of performance obligations by assessing whether the underlying products and services were separate performance obligations by performing the following:</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2"/>
          <w:numId w:val="116"/>
        </w:numPr>
        <w:rPr>
          <w:rFonts w:ascii="Arial" w:cs="Arial" w:eastAsia="Arial" w:hAnsi="Arial"/>
          <w:sz w:val="11"/>
          <w:szCs w:val="11"/>
          <w:color w:val="auto"/>
        </w:rPr>
      </w:pPr>
      <w:r>
        <w:rPr>
          <w:rFonts w:ascii="Arial" w:cs="Arial" w:eastAsia="Arial" w:hAnsi="Arial"/>
          <w:sz w:val="16"/>
          <w:szCs w:val="16"/>
          <w:color w:val="auto"/>
        </w:rPr>
        <w:t>Comparing the products and services identified in the contract to the performance obligations identified by management.</w:t>
      </w:r>
    </w:p>
    <w:p>
      <w:pPr>
        <w:spacing w:after="0" w:line="153" w:lineRule="exact"/>
        <w:rPr>
          <w:rFonts w:ascii="Arial" w:cs="Arial" w:eastAsia="Arial" w:hAnsi="Arial"/>
          <w:sz w:val="11"/>
          <w:szCs w:val="11"/>
          <w:color w:val="auto"/>
        </w:rPr>
      </w:pPr>
    </w:p>
    <w:p>
      <w:pPr>
        <w:ind w:left="2200" w:hanging="545"/>
        <w:spacing w:after="0"/>
        <w:tabs>
          <w:tab w:leader="none" w:pos="2200" w:val="left"/>
        </w:tabs>
        <w:numPr>
          <w:ilvl w:val="2"/>
          <w:numId w:val="116"/>
        </w:numPr>
        <w:rPr>
          <w:rFonts w:ascii="Arial" w:cs="Arial" w:eastAsia="Arial" w:hAnsi="Arial"/>
          <w:sz w:val="13"/>
          <w:szCs w:val="13"/>
          <w:color w:val="auto"/>
        </w:rPr>
      </w:pPr>
      <w:r>
        <w:rPr>
          <w:rFonts w:ascii="Arial" w:cs="Arial" w:eastAsia="Arial" w:hAnsi="Arial"/>
          <w:sz w:val="18"/>
          <w:szCs w:val="18"/>
          <w:color w:val="auto"/>
        </w:rPr>
        <w:t>Evaluating additional or combined performance obligations by:</w:t>
      </w:r>
    </w:p>
    <w:p>
      <w:pPr>
        <w:spacing w:after="0" w:line="127" w:lineRule="exact"/>
        <w:rPr>
          <w:rFonts w:ascii="Arial" w:cs="Arial" w:eastAsia="Arial" w:hAnsi="Arial"/>
          <w:sz w:val="13"/>
          <w:szCs w:val="13"/>
          <w:color w:val="auto"/>
        </w:rPr>
      </w:pPr>
    </w:p>
    <w:p>
      <w:pPr>
        <w:ind w:left="2540" w:right="20" w:firstLine="17"/>
        <w:spacing w:after="0" w:line="340" w:lineRule="auto"/>
        <w:rPr>
          <w:rFonts w:ascii="Arial" w:cs="Arial" w:eastAsia="Arial" w:hAnsi="Arial"/>
          <w:sz w:val="13"/>
          <w:szCs w:val="13"/>
          <w:color w:val="auto"/>
        </w:rPr>
      </w:pPr>
      <w:r>
        <w:rPr>
          <w:rFonts w:ascii="Arial" w:cs="Arial" w:eastAsia="Arial" w:hAnsi="Arial"/>
          <w:sz w:val="18"/>
          <w:szCs w:val="18"/>
          <w:color w:val="auto"/>
        </w:rPr>
        <w:t>Obtaining an understanding of the Company’s products and services, including product roadmaps and other marketing materials.</w:t>
      </w:r>
    </w:p>
    <w:p>
      <w:pPr>
        <w:spacing w:after="0" w:line="34" w:lineRule="exact"/>
        <w:rPr>
          <w:rFonts w:ascii="Arial" w:cs="Arial" w:eastAsia="Arial" w:hAnsi="Arial"/>
          <w:sz w:val="13"/>
          <w:szCs w:val="13"/>
          <w:color w:val="auto"/>
        </w:rPr>
      </w:pPr>
    </w:p>
    <w:p>
      <w:pPr>
        <w:ind w:left="2540" w:right="200" w:firstLine="17"/>
        <w:spacing w:after="0" w:line="340" w:lineRule="auto"/>
        <w:rPr>
          <w:rFonts w:ascii="Arial" w:cs="Arial" w:eastAsia="Arial" w:hAnsi="Arial"/>
          <w:sz w:val="13"/>
          <w:szCs w:val="13"/>
          <w:color w:val="auto"/>
        </w:rPr>
      </w:pPr>
      <w:r>
        <w:rPr>
          <w:rFonts w:ascii="Arial" w:cs="Arial" w:eastAsia="Arial" w:hAnsi="Arial"/>
          <w:sz w:val="18"/>
          <w:szCs w:val="18"/>
          <w:color w:val="auto"/>
        </w:rPr>
        <w:t>Inquiring of the Company’s operational personnel to understand the nature of the contract, its business purpose, and identified performance obligations.</w:t>
      </w:r>
    </w:p>
    <w:p>
      <w:pPr>
        <w:spacing w:after="0" w:line="37" w:lineRule="exact"/>
        <w:rPr>
          <w:rFonts w:ascii="Arial" w:cs="Arial" w:eastAsia="Arial" w:hAnsi="Arial"/>
          <w:sz w:val="13"/>
          <w:szCs w:val="13"/>
          <w:color w:val="auto"/>
        </w:rPr>
      </w:pPr>
    </w:p>
    <w:p>
      <w:pPr>
        <w:ind w:left="2200" w:right="140" w:hanging="545"/>
        <w:spacing w:after="0" w:line="342" w:lineRule="auto"/>
        <w:tabs>
          <w:tab w:leader="none" w:pos="2200" w:val="left"/>
        </w:tabs>
        <w:numPr>
          <w:ilvl w:val="2"/>
          <w:numId w:val="116"/>
        </w:numPr>
        <w:rPr>
          <w:rFonts w:ascii="Arial" w:cs="Arial" w:eastAsia="Arial" w:hAnsi="Arial"/>
          <w:sz w:val="11"/>
          <w:szCs w:val="11"/>
          <w:color w:val="auto"/>
        </w:rPr>
      </w:pPr>
      <w:r>
        <w:rPr>
          <w:rFonts w:ascii="Arial" w:cs="Arial" w:eastAsia="Arial" w:hAnsi="Arial"/>
          <w:sz w:val="16"/>
          <w:szCs w:val="16"/>
          <w:color w:val="auto"/>
        </w:rPr>
        <w:t>For certain of these selections, we evaluated management’s conclusions about whether identified performance obligations should be separate or combined with the assistance of professionals in our firm having expertise in revenue recognition.</w:t>
      </w:r>
    </w:p>
    <w:p>
      <w:pPr>
        <w:spacing w:after="0" w:line="29" w:lineRule="exact"/>
        <w:rPr>
          <w:rFonts w:ascii="Arial" w:cs="Arial" w:eastAsia="Arial" w:hAnsi="Arial"/>
          <w:sz w:val="11"/>
          <w:szCs w:val="11"/>
          <w:color w:val="auto"/>
        </w:rPr>
      </w:pPr>
    </w:p>
    <w:p>
      <w:pPr>
        <w:ind w:left="1540" w:hanging="331"/>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We assessed the allocation of the transaction price to performance obligations by performing the following:</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2"/>
          <w:numId w:val="116"/>
        </w:numPr>
        <w:rPr>
          <w:rFonts w:ascii="Arial" w:cs="Arial" w:eastAsia="Arial" w:hAnsi="Arial"/>
          <w:sz w:val="13"/>
          <w:szCs w:val="13"/>
          <w:color w:val="auto"/>
        </w:rPr>
      </w:pPr>
      <w:r>
        <w:rPr>
          <w:rFonts w:ascii="Arial" w:cs="Arial" w:eastAsia="Arial" w:hAnsi="Arial"/>
          <w:sz w:val="18"/>
          <w:szCs w:val="18"/>
          <w:color w:val="auto"/>
        </w:rPr>
        <w:t>Compared the transaction price determined by management to the transaction price in the customer contracts.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2200" w:right="320" w:hanging="545"/>
        <w:spacing w:after="0" w:line="277" w:lineRule="auto"/>
        <w:tabs>
          <w:tab w:leader="none" w:pos="2200" w:val="left"/>
        </w:tabs>
        <w:numPr>
          <w:ilvl w:val="0"/>
          <w:numId w:val="117"/>
        </w:numPr>
        <w:rPr>
          <w:rFonts w:ascii="Arial" w:cs="Arial" w:eastAsia="Arial" w:hAnsi="Arial"/>
          <w:sz w:val="13"/>
          <w:szCs w:val="13"/>
          <w:color w:val="auto"/>
        </w:rPr>
      </w:pPr>
      <w:r>
        <w:rPr>
          <w:rFonts w:ascii="Arial" w:cs="Arial" w:eastAsia="Arial" w:hAnsi="Arial"/>
          <w:sz w:val="18"/>
          <w:szCs w:val="18"/>
          <w:color w:val="auto"/>
        </w:rPr>
        <w:t>Compared the stand-alone selling price associated with each performance obligation to the Company’s estimated stand-alone selling price.</w:t>
      </w:r>
    </w:p>
    <w:p>
      <w:pPr>
        <w:spacing w:after="0" w:line="75" w:lineRule="exact"/>
        <w:rPr>
          <w:rFonts w:ascii="Arial" w:cs="Arial" w:eastAsia="Arial" w:hAnsi="Arial"/>
          <w:sz w:val="13"/>
          <w:szCs w:val="13"/>
          <w:color w:val="auto"/>
        </w:rPr>
      </w:pPr>
    </w:p>
    <w:p>
      <w:pPr>
        <w:ind w:left="2200" w:right="180" w:hanging="545"/>
        <w:spacing w:after="0" w:line="263" w:lineRule="auto"/>
        <w:tabs>
          <w:tab w:leader="none" w:pos="2200" w:val="left"/>
        </w:tabs>
        <w:numPr>
          <w:ilvl w:val="0"/>
          <w:numId w:val="117"/>
        </w:numPr>
        <w:rPr>
          <w:rFonts w:ascii="Arial" w:cs="Arial" w:eastAsia="Arial" w:hAnsi="Arial"/>
          <w:sz w:val="13"/>
          <w:szCs w:val="13"/>
          <w:color w:val="auto"/>
        </w:rPr>
      </w:pPr>
      <w:r>
        <w:rPr>
          <w:rFonts w:ascii="Arial" w:cs="Arial" w:eastAsia="Arial" w:hAnsi="Arial"/>
          <w:sz w:val="18"/>
          <w:szCs w:val="18"/>
          <w:color w:val="auto"/>
        </w:rPr>
        <w:t>Evaluated the reasonableness of the Company’s methodology and inputs used to estimate stand-alone selling price by obtaining an understanding of the nature of the products and services, the pricing framework and testing the accuracy and completeness of inputs.</w:t>
      </w:r>
    </w:p>
    <w:p>
      <w:pPr>
        <w:spacing w:after="0" w:line="89" w:lineRule="exact"/>
        <w:rPr>
          <w:rFonts w:ascii="Arial" w:cs="Arial" w:eastAsia="Arial" w:hAnsi="Arial"/>
          <w:sz w:val="13"/>
          <w:szCs w:val="13"/>
          <w:color w:val="auto"/>
        </w:rPr>
      </w:pPr>
    </w:p>
    <w:p>
      <w:pPr>
        <w:ind w:left="2200" w:hanging="545"/>
        <w:spacing w:after="0"/>
        <w:tabs>
          <w:tab w:leader="none" w:pos="2200" w:val="left"/>
        </w:tabs>
        <w:numPr>
          <w:ilvl w:val="0"/>
          <w:numId w:val="117"/>
        </w:numPr>
        <w:rPr>
          <w:rFonts w:ascii="Arial" w:cs="Arial" w:eastAsia="Arial" w:hAnsi="Arial"/>
          <w:sz w:val="12"/>
          <w:szCs w:val="12"/>
          <w:color w:val="auto"/>
        </w:rPr>
      </w:pPr>
      <w:r>
        <w:rPr>
          <w:rFonts w:ascii="Arial" w:cs="Arial" w:eastAsia="Arial" w:hAnsi="Arial"/>
          <w:sz w:val="17"/>
          <w:szCs w:val="17"/>
          <w:color w:val="auto"/>
        </w:rPr>
        <w:t>Tested the mathematical accuracy of management’s allocation of transaction price to the performance obligations.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Recognition-Revenue from ARM China- Refer to Notes 1, 3, 21 and 22 to the Consolidated Financial Statements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Arm Technology (China) Co. Limited (“Arm China”) acts as the Company’s exclusive intellectual property distributor in the Chinese market under the intellectual property licensing arrangement (“IPLA”). As part of the IPLA arrangement, Arm China directly contracts with end customers, in the Chinese market, with discretion in establishing pricing to sublicense specified intellectual property. The Company’s responsibility is to facilitate delivery of a good or service to the end customer in accordance with detailed instructions and other specifications from Arm China. In these cases, Arm China is the customer for the Company. As such, revenue presented by the Company is the net amount calculated as a percentage of license and royalty fees earned by Arm China from sub-license arrangements entered into with end customers in the Chinese markets.</w:t>
      </w:r>
    </w:p>
    <w:p>
      <w:pPr>
        <w:spacing w:after="0" w:line="17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Under the IPLA, Arm China’s payments due to the Company are determined based on the financial information that Arm China provides to the Company. Accordingly, the Company is dependent on Arm China providing reliable financial information to the Company. In addition, prior to April 2022, Arm China had certain longstanding corporate governance issues. These factors made it difficult for management to determine if the revenue from Arm China was determined in accordance with the terms and conditions of the IPLA. Accordingly, we have identified a critical audit matter related to Revenue from Arm China due to the increased extent of effort necessary to perform our audit procedures.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procedures related to Revenue from ARM China included the following, among others:</w:t>
      </w:r>
    </w:p>
    <w:p>
      <w:pPr>
        <w:spacing w:after="0" w:line="131" w:lineRule="exact"/>
        <w:rPr>
          <w:sz w:val="20"/>
          <w:szCs w:val="20"/>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Obtained and read the terms of the IPLA entered into between the Company and Arm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a sample of revenue contracts entered into between Arm China and its end customers in the Chinese market, we: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Obtained and read the terms of the contracts.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Evaluated whether the contracts were properly included in Arm China’s calculation of revenue share reported to the Company.</w:t>
      </w:r>
    </w:p>
    <w:p>
      <w:pPr>
        <w:spacing w:after="0" w:line="142" w:lineRule="exact"/>
        <w:rPr>
          <w:rFonts w:ascii="Arial" w:cs="Arial" w:eastAsia="Arial" w:hAnsi="Arial"/>
          <w:sz w:val="17"/>
          <w:szCs w:val="17"/>
          <w:color w:val="auto"/>
        </w:rPr>
      </w:pPr>
    </w:p>
    <w:p>
      <w:pPr>
        <w:ind w:left="1540" w:right="80" w:hanging="331"/>
        <w:spacing w:after="0" w:line="277" w:lineRule="auto"/>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whether the terms of the IPLA were accurately and consistently applied to the contracts and the revenue share amount for the respective period was computed accurately.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Obtained and tested delivery and payment support.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evaluating the impact of the corporate governance issue at Arm China, we:</w:t>
      </w:r>
    </w:p>
    <w:p>
      <w:pPr>
        <w:spacing w:after="0" w:line="130"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Made inquiries of management, including the Company’s internal and external legal counsel, and those charged with governance to obtain an understanding of the matter.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Obtained and read internal and external information as well as minutes of board and governance committee meetings.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hanging="331"/>
        <w:spacing w:after="0" w:line="27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the assistance of our forensic specialists, evaluated the reasonableness of the scope of the corporate governance issues identified and resolution of the issues.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Performed testing of journal entries on a sample basis at ARM China.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28, 2023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420"/>
          </w:cols>
          <w:pgMar w:left="320" w:top="459" w:right="11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9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Revenue from external customers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2,219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related parties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 revenue</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related costs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operating expense</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Income from equity investments,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non-operating income (loss),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0"/>
                <w:szCs w:val="20"/>
                <w:color w:val="auto"/>
              </w:rPr>
            </w:pPr>
            <w:r>
              <w:rPr>
                <w:rFonts w:ascii="Arial" w:cs="Arial" w:eastAsia="Arial" w:hAnsi="Arial"/>
                <w:sz w:val="18"/>
                <w:szCs w:val="18"/>
                <w:color w:val="auto"/>
              </w:rPr>
              <w:t>Income tax expense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Discontinued operations (Note 4):</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Income tax (expense) benefit from discontinued operations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attributable to ordinary shareholders—basic and 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outstanding—basic and 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88"/>
              </w:rPr>
              <w:t>1,025,234,000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1,025,234,000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ind w:left="220"/>
              <w:spacing w:after="0"/>
              <w:rPr>
                <w:sz w:val="20"/>
                <w:szCs w:val="20"/>
                <w:color w:val="auto"/>
              </w:rPr>
            </w:pPr>
            <w:r>
              <w:rPr>
                <w:rFonts w:ascii="Arial" w:cs="Arial" w:eastAsia="Arial" w:hAnsi="Arial"/>
                <w:sz w:val="14"/>
                <w:szCs w:val="14"/>
                <w:b w:val="1"/>
                <w:bCs w:val="1"/>
                <w:color w:val="auto"/>
              </w:rPr>
              <w:t>Fiscal Years Ended March 31,</w:t>
            </w:r>
          </w:p>
        </w:tc>
      </w:tr>
      <w:tr>
        <w:trPr>
          <w:trHeight w:val="142"/>
        </w:trPr>
        <w:tc>
          <w:tcPr>
            <w:tcW w:w="8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2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340" w:type="dxa"/>
            <w:vAlign w:val="bottom"/>
          </w:tcPr>
          <w:p>
            <w:pPr>
              <w:jc w:val="center"/>
              <w:ind w:left="578"/>
              <w:spacing w:after="0"/>
              <w:rPr>
                <w:sz w:val="20"/>
                <w:szCs w:val="20"/>
                <w:color w:val="auto"/>
              </w:rPr>
            </w:pPr>
            <w:r>
              <w:rPr>
                <w:rFonts w:ascii="Arial" w:cs="Arial" w:eastAsia="Arial" w:hAnsi="Arial"/>
                <w:sz w:val="18"/>
                <w:szCs w:val="18"/>
                <w:b w:val="1"/>
                <w:bCs w:val="1"/>
                <w:color w:val="auto"/>
                <w:w w:val="91"/>
              </w:rPr>
              <w:t>Confidential Treatment Requested by Arm Holdings Limited</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40" w:type="dxa"/>
            <w:vAlign w:val="bottom"/>
          </w:tcPr>
          <w:p>
            <w:pPr>
              <w:jc w:val="center"/>
              <w:ind w:left="578"/>
              <w:spacing w:after="0"/>
              <w:rPr>
                <w:sz w:val="20"/>
                <w:szCs w:val="20"/>
                <w:color w:val="auto"/>
              </w:rPr>
            </w:pPr>
            <w:r>
              <w:rPr>
                <w:rFonts w:ascii="Arial" w:cs="Arial" w:eastAsia="Arial" w:hAnsi="Arial"/>
                <w:sz w:val="18"/>
                <w:szCs w:val="18"/>
                <w:b w:val="1"/>
                <w:bCs w:val="1"/>
                <w:color w:val="auto"/>
                <w:w w:val="89"/>
              </w:rPr>
              <w:t>Pursuant to 17 C.F.R. Section 200.83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0340" w:type="dxa"/>
            <w:vAlign w:val="bottom"/>
          </w:tcPr>
          <w:p>
            <w:pPr>
              <w:jc w:val="center"/>
              <w:ind w:left="598"/>
              <w:spacing w:after="0"/>
              <w:rPr>
                <w:sz w:val="20"/>
                <w:szCs w:val="20"/>
                <w:color w:val="auto"/>
              </w:rPr>
            </w:pPr>
            <w:r>
              <w:rPr>
                <w:rFonts w:ascii="Arial" w:cs="Arial" w:eastAsia="Arial" w:hAnsi="Arial"/>
                <w:sz w:val="18"/>
                <w:szCs w:val="18"/>
                <w:b w:val="1"/>
                <w:bCs w:val="1"/>
                <w:color w:val="auto"/>
                <w:w w:val="97"/>
              </w:rPr>
              <w:t>Arm Limited</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340" w:type="dxa"/>
            <w:vAlign w:val="bottom"/>
          </w:tcPr>
          <w:p>
            <w:pPr>
              <w:jc w:val="center"/>
              <w:ind w:left="578"/>
              <w:spacing w:after="0"/>
              <w:rPr>
                <w:sz w:val="20"/>
                <w:szCs w:val="20"/>
                <w:color w:val="auto"/>
              </w:rPr>
            </w:pPr>
            <w:r>
              <w:rPr>
                <w:rFonts w:ascii="Arial" w:cs="Arial" w:eastAsia="Arial" w:hAnsi="Arial"/>
                <w:sz w:val="18"/>
                <w:szCs w:val="18"/>
                <w:b w:val="1"/>
                <w:bCs w:val="1"/>
                <w:color w:val="auto"/>
                <w:w w:val="87"/>
              </w:rPr>
              <w:t>Consolidated Balance Sheet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40" w:type="dxa"/>
            <w:vAlign w:val="bottom"/>
          </w:tcPr>
          <w:p>
            <w:pPr>
              <w:jc w:val="center"/>
              <w:ind w:left="578"/>
              <w:spacing w:after="0"/>
              <w:rPr>
                <w:sz w:val="20"/>
                <w:szCs w:val="20"/>
                <w:color w:val="auto"/>
              </w:rPr>
            </w:pPr>
            <w:r>
              <w:rPr>
                <w:rFonts w:ascii="Arial" w:cs="Arial" w:eastAsia="Arial" w:hAnsi="Arial"/>
                <w:sz w:val="18"/>
                <w:szCs w:val="18"/>
                <w:b w:val="1"/>
                <w:bCs w:val="1"/>
                <w:color w:val="auto"/>
                <w:w w:val="89"/>
              </w:rPr>
              <w:t>(in millions, except par value and per share amounts)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034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10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3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 (including receivables from related parties of $643)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Contract assets</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34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assets: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Equity investments (including investments held at fair value of $631)</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Non-current portion of contract assets</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34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34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Accrued compensation and benefits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Tax liabilities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Contract liabilities (including contract liabilities from related parties of $135)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340" w:type="dxa"/>
            <w:vAlign w:val="bottom"/>
          </w:tcPr>
          <w:p>
            <w:pPr>
              <w:spacing w:after="0"/>
              <w:rPr>
                <w:sz w:val="20"/>
                <w:szCs w:val="20"/>
                <w:color w:val="auto"/>
              </w:rPr>
            </w:pPr>
            <w:r>
              <w:rPr>
                <w:rFonts w:ascii="Arial" w:cs="Arial" w:eastAsia="Arial" w:hAnsi="Arial"/>
                <w:sz w:val="16"/>
                <w:szCs w:val="16"/>
                <w:color w:val="auto"/>
              </w:rPr>
              <w:t>Other current liabilities (including payables to related parties of $28)</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34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accrued compensation and share-based compensation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contract liabilities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Non-current portion of operating lease liabilities</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34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340" w:type="dxa"/>
            <w:vAlign w:val="bottom"/>
          </w:tcPr>
          <w:p>
            <w:pPr>
              <w:spacing w:after="0"/>
              <w:rPr>
                <w:sz w:val="20"/>
                <w:szCs w:val="20"/>
                <w:color w:val="auto"/>
              </w:rPr>
            </w:pPr>
            <w:r>
              <w:rPr>
                <w:rFonts w:ascii="Arial" w:cs="Arial" w:eastAsia="Arial" w:hAnsi="Arial"/>
                <w:sz w:val="16"/>
                <w:szCs w:val="16"/>
                <w:color w:val="auto"/>
              </w:rPr>
              <w:t>Commitments and contingencies (Note 18)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340" w:type="dxa"/>
            <w:vAlign w:val="bottom"/>
          </w:tcPr>
          <w:p>
            <w:pPr>
              <w:spacing w:after="0"/>
              <w:rPr>
                <w:sz w:val="20"/>
                <w:szCs w:val="20"/>
                <w:color w:val="auto"/>
              </w:rPr>
            </w:pPr>
            <w:r>
              <w:rPr>
                <w:rFonts w:ascii="Arial" w:cs="Arial" w:eastAsia="Arial" w:hAnsi="Arial"/>
                <w:sz w:val="16"/>
                <w:szCs w:val="16"/>
                <w:color w:val="auto"/>
              </w:rPr>
              <w:t>Ordinary shares, $0.001 par value, 1,025,234,000 shares authorized, issued and outstanding as of March 31, 2022</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340" w:type="dxa"/>
            <w:vAlign w:val="bottom"/>
          </w:tcPr>
          <w:p>
            <w:pPr>
              <w:spacing w:after="0"/>
              <w:rPr>
                <w:sz w:val="20"/>
                <w:szCs w:val="20"/>
                <w:color w:val="auto"/>
              </w:rPr>
            </w:pPr>
            <w:r>
              <w:rPr>
                <w:rFonts w:ascii="Arial" w:cs="Arial" w:eastAsia="Arial" w:hAnsi="Arial"/>
                <w:sz w:val="16"/>
                <w:szCs w:val="16"/>
                <w:b w:val="1"/>
                <w:bCs w:val="1"/>
                <w:color w:val="auto"/>
              </w:rPr>
              <w:t>Total shareholders’ equity</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Additional Paid-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share amounts)</w:t>
            </w:r>
          </w:p>
        </w:tc>
        <w:tc>
          <w:tcPr>
            <w:tcW w:w="158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Ordinary Shares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160" w:type="dxa"/>
            <w:vAlign w:val="bottom"/>
            <w:vMerge w:val="continue"/>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3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24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April 1, 2020</w:t>
            </w:r>
          </w:p>
        </w:tc>
        <w:tc>
          <w:tcPr>
            <w:tcW w:w="10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6"/>
              </w:rPr>
              <w:t>1,025,234,000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1,214</w:t>
            </w:r>
          </w:p>
        </w:tc>
        <w:tc>
          <w:tcPr>
            <w:tcW w:w="360" w:type="dxa"/>
            <w:vAlign w:val="bottom"/>
            <w:tcBorders>
              <w:top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392</w:t>
            </w:r>
          </w:p>
        </w:tc>
        <w:tc>
          <w:tcPr>
            <w:tcW w:w="940" w:type="dxa"/>
            <w:vAlign w:val="bottom"/>
            <w:tcBorders>
              <w:top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$ 2,766</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4,374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net of tax</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w w:val="98"/>
              </w:rPr>
              <w:t>Cash dividends declared $0.73 per share and paid to</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2021</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1,025,234,000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net of tax</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Distribution to ordinary shareholders related to</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Treasure Data and Arm China</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2022</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1,025,234,000</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1,214</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399</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$ 1,933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3,548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42"/>
        </w:trPr>
        <w:tc>
          <w:tcPr>
            <w:tcW w:w="84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2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Cash flows provided by (used for) operating activities: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2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549</w:t>
            </w:r>
          </w:p>
        </w:tc>
        <w:tc>
          <w:tcPr>
            <w:tcW w:w="60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(used for) operating activities: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300"/>
              <w:spacing w:after="0" w:line="162" w:lineRule="exact"/>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4"/>
                <w:szCs w:val="14"/>
                <w:color w:val="auto"/>
              </w:rPr>
            </w:pPr>
          </w:p>
        </w:tc>
        <w:tc>
          <w:tcPr>
            <w:tcW w:w="110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185</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Deferred income taxes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(76)</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2"/>
        </w:trPr>
        <w:tc>
          <w:tcPr>
            <w:tcW w:w="8420" w:type="dxa"/>
            <w:vAlign w:val="bottom"/>
          </w:tcPr>
          <w:p>
            <w:pPr>
              <w:ind w:left="300"/>
              <w:spacing w:after="0" w:line="162" w:lineRule="exact"/>
              <w:rPr>
                <w:sz w:val="20"/>
                <w:szCs w:val="20"/>
                <w:color w:val="auto"/>
              </w:rPr>
            </w:pPr>
            <w:r>
              <w:rPr>
                <w:rFonts w:ascii="Arial" w:cs="Arial" w:eastAsia="Arial" w:hAnsi="Arial"/>
                <w:sz w:val="15"/>
                <w:szCs w:val="15"/>
                <w:color w:val="auto"/>
              </w:rPr>
              <w:t>Income from equity investments, net</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(141)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Impairment losses on long-lived assets and loans receivable</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43</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8420" w:type="dxa"/>
            <w:vAlign w:val="bottom"/>
          </w:tcPr>
          <w:p>
            <w:pPr>
              <w:ind w:left="300"/>
              <w:spacing w:after="0" w:line="162" w:lineRule="exact"/>
              <w:rPr>
                <w:sz w:val="20"/>
                <w:szCs w:val="20"/>
                <w:color w:val="auto"/>
              </w:rPr>
            </w:pPr>
            <w:r>
              <w:rPr>
                <w:rFonts w:ascii="Arial" w:cs="Arial" w:eastAsia="Arial" w:hAnsi="Arial"/>
                <w:sz w:val="15"/>
                <w:szCs w:val="15"/>
                <w:color w:val="auto"/>
              </w:rPr>
              <w:t>Share-based compensation expense</w:t>
            </w:r>
          </w:p>
        </w:tc>
        <w:tc>
          <w:tcPr>
            <w:tcW w:w="160" w:type="dxa"/>
            <w:vAlign w:val="bottom"/>
          </w:tcPr>
          <w:p>
            <w:pPr>
              <w:spacing w:after="0"/>
              <w:rPr>
                <w:sz w:val="14"/>
                <w:szCs w:val="14"/>
                <w:color w:val="auto"/>
              </w:rPr>
            </w:pPr>
          </w:p>
        </w:tc>
        <w:tc>
          <w:tcPr>
            <w:tcW w:w="110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26</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Operating lease expense</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41</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62"/>
        </w:trPr>
        <w:tc>
          <w:tcPr>
            <w:tcW w:w="8420" w:type="dxa"/>
            <w:vAlign w:val="bottom"/>
          </w:tcPr>
          <w:p>
            <w:pPr>
              <w:ind w:left="300"/>
              <w:spacing w:after="0" w:line="162" w:lineRule="exact"/>
              <w:rPr>
                <w:sz w:val="20"/>
                <w:szCs w:val="20"/>
                <w:color w:val="auto"/>
              </w:rPr>
            </w:pPr>
            <w:r>
              <w:rPr>
                <w:rFonts w:ascii="Arial" w:cs="Arial" w:eastAsia="Arial" w:hAnsi="Arial"/>
                <w:sz w:val="15"/>
                <w:szCs w:val="15"/>
                <w:color w:val="auto"/>
              </w:rPr>
              <w:t>Other non-cash operating activities, net</w:t>
            </w:r>
          </w:p>
        </w:tc>
        <w:tc>
          <w:tcPr>
            <w:tcW w:w="160" w:type="dxa"/>
            <w:vAlign w:val="bottom"/>
          </w:tcPr>
          <w:p>
            <w:pPr>
              <w:spacing w:after="0"/>
              <w:rPr>
                <w:sz w:val="14"/>
                <w:szCs w:val="14"/>
                <w:color w:val="auto"/>
              </w:rPr>
            </w:pPr>
          </w:p>
        </w:tc>
        <w:tc>
          <w:tcPr>
            <w:tcW w:w="110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19</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assets and liabilities: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ind w:left="300"/>
              <w:spacing w:after="0" w:line="162" w:lineRule="exact"/>
              <w:rPr>
                <w:sz w:val="20"/>
                <w:szCs w:val="20"/>
                <w:color w:val="auto"/>
              </w:rPr>
            </w:pPr>
            <w:r>
              <w:rPr>
                <w:rFonts w:ascii="Arial" w:cs="Arial" w:eastAsia="Arial" w:hAnsi="Arial"/>
                <w:sz w:val="15"/>
                <w:szCs w:val="15"/>
                <w:color w:val="auto"/>
              </w:rPr>
              <w:t>Accounts receivable, net (including receivables from related parties)</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(219)</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Contract assets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(158)</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8420" w:type="dxa"/>
            <w:vAlign w:val="bottom"/>
          </w:tcPr>
          <w:p>
            <w:pPr>
              <w:ind w:left="300"/>
              <w:spacing w:after="0" w:line="162" w:lineRule="exact"/>
              <w:rPr>
                <w:sz w:val="20"/>
                <w:szCs w:val="20"/>
                <w:color w:val="auto"/>
              </w:rPr>
            </w:pPr>
            <w:r>
              <w:rPr>
                <w:rFonts w:ascii="Arial" w:cs="Arial" w:eastAsia="Arial" w:hAnsi="Arial"/>
                <w:sz w:val="15"/>
                <w:szCs w:val="15"/>
                <w:color w:val="auto"/>
              </w:rPr>
              <w:t>Prepaid expenses and other assets</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(41)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Accrued compensation and benefits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127</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62"/>
        </w:trPr>
        <w:tc>
          <w:tcPr>
            <w:tcW w:w="8420" w:type="dxa"/>
            <w:vAlign w:val="bottom"/>
          </w:tcPr>
          <w:p>
            <w:pPr>
              <w:ind w:left="300"/>
              <w:spacing w:after="0" w:line="162" w:lineRule="exact"/>
              <w:rPr>
                <w:sz w:val="20"/>
                <w:szCs w:val="20"/>
                <w:color w:val="auto"/>
              </w:rPr>
            </w:pPr>
            <w:r>
              <w:rPr>
                <w:rFonts w:ascii="Arial" w:cs="Arial" w:eastAsia="Arial" w:hAnsi="Arial"/>
                <w:sz w:val="15"/>
                <w:szCs w:val="15"/>
                <w:color w:val="auto"/>
              </w:rPr>
              <w:t>Contract liabilities (including contract liabilities from related parties)</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(51)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950</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Tax liabilities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112</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2"/>
        </w:trPr>
        <w:tc>
          <w:tcPr>
            <w:tcW w:w="8420" w:type="dxa"/>
            <w:vAlign w:val="bottom"/>
          </w:tcPr>
          <w:p>
            <w:pPr>
              <w:ind w:left="300"/>
              <w:spacing w:after="0" w:line="162" w:lineRule="exact"/>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(59)</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current liabilities (including payables to related parties)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101</w:t>
            </w: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6"/>
        </w:trPr>
        <w:tc>
          <w:tcPr>
            <w:tcW w:w="84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458</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flows used for investing activities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tcPr>
          <w:p>
            <w:pPr>
              <w:spacing w:after="0" w:line="162" w:lineRule="exact"/>
              <w:rPr>
                <w:sz w:val="20"/>
                <w:szCs w:val="20"/>
                <w:color w:val="auto"/>
              </w:rPr>
            </w:pPr>
            <w:r>
              <w:rPr>
                <w:rFonts w:ascii="Arial" w:cs="Arial" w:eastAsia="Arial" w:hAnsi="Arial"/>
                <w:sz w:val="15"/>
                <w:szCs w:val="15"/>
                <w:color w:val="auto"/>
              </w:rPr>
              <w:t>Purchase of short-term investments</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(505)</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equity investments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(8)</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2"/>
        </w:trPr>
        <w:tc>
          <w:tcPr>
            <w:tcW w:w="8420" w:type="dxa"/>
            <w:vAlign w:val="bottom"/>
          </w:tcPr>
          <w:p>
            <w:pPr>
              <w:spacing w:after="0" w:line="162" w:lineRule="exact"/>
              <w:rPr>
                <w:sz w:val="20"/>
                <w:szCs w:val="20"/>
                <w:color w:val="auto"/>
              </w:rPr>
            </w:pPr>
            <w:r>
              <w:rPr>
                <w:rFonts w:ascii="Arial" w:cs="Arial" w:eastAsia="Arial" w:hAnsi="Arial"/>
                <w:sz w:val="15"/>
                <w:szCs w:val="15"/>
                <w:color w:val="auto"/>
              </w:rPr>
              <w:t>Purchases of intangible assets</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(78)</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(34)</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62"/>
        </w:trPr>
        <w:tc>
          <w:tcPr>
            <w:tcW w:w="8420" w:type="dxa"/>
            <w:vAlign w:val="bottom"/>
          </w:tcPr>
          <w:p>
            <w:pPr>
              <w:spacing w:after="0" w:line="162" w:lineRule="exact"/>
              <w:rPr>
                <w:sz w:val="20"/>
                <w:szCs w:val="20"/>
                <w:color w:val="auto"/>
              </w:rPr>
            </w:pPr>
            <w:r>
              <w:rPr>
                <w:rFonts w:ascii="Arial" w:cs="Arial" w:eastAsia="Arial" w:hAnsi="Arial"/>
                <w:sz w:val="15"/>
                <w:szCs w:val="15"/>
                <w:color w:val="auto"/>
              </w:rPr>
              <w:t>Investments in convertible loans and other</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(31)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for investing activities</w:t>
            </w: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(656)</w:t>
            </w:r>
          </w:p>
        </w:tc>
        <w:tc>
          <w:tcPr>
            <w:tcW w:w="60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(378)</w:t>
            </w:r>
          </w:p>
        </w:tc>
        <w:tc>
          <w:tcPr>
            <w:tcW w:w="0" w:type="dxa"/>
            <w:vAlign w:val="bottom"/>
          </w:tcPr>
          <w:p>
            <w:pPr>
              <w:spacing w:after="0"/>
              <w:rPr>
                <w:sz w:val="1"/>
                <w:szCs w:val="1"/>
                <w:color w:val="auto"/>
              </w:rPr>
            </w:pPr>
          </w:p>
        </w:tc>
      </w:tr>
      <w:tr>
        <w:trPr>
          <w:trHeight w:val="169"/>
        </w:trPr>
        <w:tc>
          <w:tcPr>
            <w:tcW w:w="842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flows provided by (used for) financing activities</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dividends declared and paid to shareholders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162"/>
        </w:trPr>
        <w:tc>
          <w:tcPr>
            <w:tcW w:w="8420" w:type="dxa"/>
            <w:vAlign w:val="bottom"/>
          </w:tcPr>
          <w:p>
            <w:pPr>
              <w:spacing w:after="0" w:line="162" w:lineRule="exact"/>
              <w:rPr>
                <w:sz w:val="20"/>
                <w:szCs w:val="20"/>
                <w:color w:val="auto"/>
              </w:rPr>
            </w:pPr>
            <w:r>
              <w:rPr>
                <w:rFonts w:ascii="Arial" w:cs="Arial" w:eastAsia="Arial" w:hAnsi="Arial"/>
                <w:sz w:val="15"/>
                <w:szCs w:val="15"/>
                <w:color w:val="auto"/>
              </w:rPr>
              <w:t>Cash transfers associated with distribution and sale of Treasure Data and IoTP, respectively</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(43)</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short-term debt borrowing</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50</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20" w:type="dxa"/>
            <w:vAlign w:val="bottom"/>
          </w:tcPr>
          <w:p>
            <w:pPr>
              <w:spacing w:after="0" w:line="162" w:lineRule="exact"/>
              <w:rPr>
                <w:sz w:val="20"/>
                <w:szCs w:val="20"/>
                <w:color w:val="auto"/>
              </w:rPr>
            </w:pPr>
            <w:r>
              <w:rPr>
                <w:rFonts w:ascii="Arial" w:cs="Arial" w:eastAsia="Arial" w:hAnsi="Arial"/>
                <w:sz w:val="15"/>
                <w:szCs w:val="15"/>
                <w:color w:val="auto"/>
              </w:rPr>
              <w:t>Other financing activities, net</w:t>
            </w: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provided by (used for) financing activities</w:t>
            </w: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w:t>
            </w: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(751)</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5"/>
                <w:szCs w:val="15"/>
                <w:color w:val="auto"/>
              </w:rPr>
              <w:t>Effect of foreign exchange rate changes on cash and cash equivalents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(17)</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(decrease) increase in cash and cash equivalents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(210)</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69"/>
        </w:trPr>
        <w:tc>
          <w:tcPr>
            <w:tcW w:w="842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the beginning of the year</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1,214</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the end of the year</w:t>
            </w: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1,004</w:t>
            </w:r>
          </w:p>
        </w:tc>
        <w:tc>
          <w:tcPr>
            <w:tcW w:w="60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169"/>
        </w:trPr>
        <w:tc>
          <w:tcPr>
            <w:tcW w:w="8420" w:type="dxa"/>
            <w:vAlign w:val="bottom"/>
          </w:tcPr>
          <w:p>
            <w:pPr>
              <w:spacing w:after="0" w:line="162" w:lineRule="exact"/>
              <w:rPr>
                <w:sz w:val="20"/>
                <w:szCs w:val="20"/>
                <w:color w:val="auto"/>
              </w:rPr>
            </w:pPr>
            <w:r>
              <w:rPr>
                <w:rFonts w:ascii="Arial" w:cs="Arial" w:eastAsia="Arial" w:hAnsi="Arial"/>
                <w:sz w:val="15"/>
                <w:szCs w:val="15"/>
                <w:color w:val="auto"/>
              </w:rPr>
              <w:t>Less cash from discontinued operations, end of the year</w:t>
            </w:r>
          </w:p>
        </w:tc>
        <w:tc>
          <w:tcPr>
            <w:tcW w:w="160" w:type="dxa"/>
            <w:vAlign w:val="bottom"/>
          </w:tcPr>
          <w:p>
            <w:pPr>
              <w:spacing w:after="0"/>
              <w:rPr>
                <w:sz w:val="14"/>
                <w:szCs w:val="14"/>
                <w:color w:val="auto"/>
              </w:rPr>
            </w:pPr>
          </w:p>
        </w:tc>
        <w:tc>
          <w:tcPr>
            <w:tcW w:w="6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and cash equivalents from continuing operations, end of the year</w:t>
            </w:r>
          </w:p>
        </w:tc>
        <w:tc>
          <w:tcPr>
            <w:tcW w:w="160" w:type="dxa"/>
            <w:vAlign w:val="bottom"/>
            <w:tcBorders>
              <w:top w:val="single" w:sz="8" w:color="auto"/>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1,004</w:t>
            </w: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payments for income taxes</w:t>
            </w: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(141)</w:t>
            </w:r>
          </w:p>
        </w:tc>
        <w:tc>
          <w:tcPr>
            <w:tcW w:w="60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62"/>
        </w:trPr>
        <w:tc>
          <w:tcPr>
            <w:tcW w:w="8420" w:type="dxa"/>
            <w:vAlign w:val="bottom"/>
          </w:tcPr>
          <w:p>
            <w:pPr>
              <w:spacing w:after="0" w:line="162" w:lineRule="exact"/>
              <w:rPr>
                <w:sz w:val="20"/>
                <w:szCs w:val="20"/>
                <w:color w:val="auto"/>
              </w:rPr>
            </w:pPr>
            <w:r>
              <w:rPr>
                <w:rFonts w:ascii="Arial" w:cs="Arial" w:eastAsia="Arial" w:hAnsi="Arial"/>
                <w:sz w:val="15"/>
                <w:szCs w:val="15"/>
                <w:color w:val="auto"/>
              </w:rPr>
              <w:t>Cash refunds from income taxes</w:t>
            </w: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52</w:t>
            </w:r>
          </w:p>
        </w:tc>
        <w:tc>
          <w:tcPr>
            <w:tcW w:w="60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payments for interest</w:t>
            </w: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w:t>
            </w:r>
          </w:p>
        </w:tc>
        <w:tc>
          <w:tcPr>
            <w:tcW w:w="60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Non-cash distributions associated with Arm China and Treasure Data</w:t>
            </w: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(980)</w:t>
            </w:r>
          </w:p>
        </w:tc>
        <w:tc>
          <w:tcPr>
            <w:tcW w:w="60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Arm Limited (“the Company”) is a global leader in the semiconductor industry. The Company’s principal operations are the licensing, marketing, research and development of microprocessors, systems intellectual property (“IP”), graphics processing units, physical IP and associated systems IP, software, tools and other related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300"/>
        <w:spacing w:after="0" w:line="22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 and pursuant to the rules and regulations of the Securities and Exchange Commission (“SEC”). The Company’s fiscal year ends on March 31</w:t>
      </w:r>
      <w:r>
        <w:rPr>
          <w:rFonts w:ascii="Arial" w:cs="Arial" w:eastAsia="Arial" w:hAnsi="Arial"/>
          <w:sz w:val="26"/>
          <w:szCs w:val="26"/>
          <w:color w:val="auto"/>
          <w:vertAlign w:val="superscript"/>
        </w:rPr>
        <w:t>st</w:t>
      </w:r>
      <w:r>
        <w:rPr>
          <w:rFonts w:ascii="Arial" w:cs="Arial" w:eastAsia="Arial" w:hAnsi="Arial"/>
          <w:sz w:val="18"/>
          <w:szCs w:val="18"/>
          <w:color w:val="auto"/>
        </w:rPr>
        <w:t>. The accompanying consolidated financial statements include the accounts of the Company and its wholly owned subsidiaries. All intercompany balances and transactions have been eliminated in consolidation.</w:t>
      </w:r>
    </w:p>
    <w:p>
      <w:pPr>
        <w:spacing w:after="0" w:line="202"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accompanying consolidated financial statements are presented in United States Dollar (“USD”), which is the Company’s functional and reporting currency. For most of the Company’s international operations, the local currency has been determined to be the functional currency of the respective entity.</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transactions entered into in a currency other than its functional currency, monetary assets and liabilities are remeasured into the functional currency at end-of-period exchange rates. Non-monetary assets and liabilities, along with equity are remeasured at historical exchange rates. Income and expenses are remeasured at exchange rates in effect during each period, except for those expenses related to non-monetary balance sheet amounts, which are remeasured at historical exchange rates. Gains or losses from foreign currency remeasurement are included in other non-operating income (loss), net on the Consolidated Income Statements.</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translates functional currency assets and liabilities to their USD equivalents at exchange rates in effect as of the balance sheet date and income and expense amounts at average exchange rates for the period. The USD effects that arise from changing translation rates are recorded in foreign currency translation adjustments on the Consolidated Statements of Comprehensive Income.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revenues and expenses during the reporting periods. Significant items subject to such estimates include, but are not limited to, revenue recognition, allowance for doubtful accounts,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Inputs used in judgments and estimates consider the economic implications of COVID-19. The impact of COVID-19 related estimates were not material to the financial statement.</w:t>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Credit risk is the risk of an unexpected loss if a customer or third party to a financial instrument fails to meet its contractual obligations. Financial instruments that potentially subject the Company to concentrations of credit risk consist principally of cash and cash equivalents, bank deposits, short-term investments, derivative financial instruments and accounts receivable. The Company’s maximum exposure to credit risk is limited to the carrying amount of these assets. The credit risk on liquid funds and derivative financial instruments is limited because the counterparties are banks with high credit ratings assigned by international credit rating agencies. The Company further manages its credit risk on liquid funds and derivative financial instruments through diversification of investment type and credit exposures. For accounts receivable, the credit risk is managed through the use of mitigating controls, including the use of credit checks and credit limits on customers. For financial assets (other than accounts receivable), the Company holds positions with an approved list of investment-grade rated counterparties and monitors the exposures and counterparty credit risk on a regular basis.</w:t>
      </w:r>
    </w:p>
    <w:p>
      <w:pPr>
        <w:spacing w:after="0" w:line="16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Additionally, in March 2022, the Company entered into a Guarantee (as defined below) as discussed more fully in Note 18,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relating to the payment obligations under the Facility Agreement owed by Kronos (as defined below), an entity under common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SoftBank Group Corp. (“SoftBank”). Under the terms of the arrangements, a subsidiary of Kronos secured the obligations under the Facility Agreement (as defined below) by pledging its 75.01% interest in the Company and upon an Arm Guarantee Trigger Event (as defined below) as discussed in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the Company may become exposed to the credit risk of Kronos failing to pay its obligations, monetize the share collateral to settle the obligations directly, or otherwise restructure the Facility Agreement before obligations are due. Upon default, the lenders can satisfy their claim either through foreclosing on the pledged 75.01% interest in the Company or through enforcing the Company’s obligations pursuant to the Guarantee.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Cash and cash equivalents include cash on hand and short-term deposits with original maturities of three months or less that are readily convertible into known amounts of cash and are subject to insignificant risk of changes in value. Cash and cash equivalents are stated at cost, which approximates fair value because the short-term maturity of those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Short-term investments represent term deposits with banks with a maturity between three and 12 months. These investments are classified as held-to-maturity as the Company has the intent and ability to hold the investments to maturity. These investments are recorded at amortized cost, net of expected credit losses. Amortization of premiums or accretion of discounts are included in interest income (expense), net on the Consolidated Income Statements.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regularly invests in equity securities of public and private companies to promote business and strategic objectives. Equity investments are measured and recorded as follows:</w:t>
      </w:r>
    </w:p>
    <w:p>
      <w:pPr>
        <w:spacing w:after="0" w:line="76" w:lineRule="exact"/>
        <w:rPr>
          <w:sz w:val="20"/>
          <w:szCs w:val="20"/>
          <w:color w:val="auto"/>
        </w:rPr>
      </w:pPr>
    </w:p>
    <w:p>
      <w:pPr>
        <w:ind w:left="1080" w:right="140" w:hanging="424"/>
        <w:spacing w:after="0" w:line="279"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Marketable equity securities </w:t>
      </w:r>
      <w:r>
        <w:rPr>
          <w:rFonts w:ascii="Arial" w:cs="Arial" w:eastAsia="Arial" w:hAnsi="Arial"/>
          <w:sz w:val="17"/>
          <w:szCs w:val="17"/>
          <w:color w:val="auto"/>
        </w:rPr>
        <w:t>are equity securities with readily determinable fair values that are measured and recorded at fair value on a</w:t>
      </w:r>
      <w:r>
        <w:rPr>
          <w:rFonts w:ascii="Arial" w:cs="Arial" w:eastAsia="Arial" w:hAnsi="Arial"/>
          <w:sz w:val="17"/>
          <w:szCs w:val="17"/>
          <w:i w:val="1"/>
          <w:iCs w:val="1"/>
          <w:color w:val="auto"/>
        </w:rPr>
        <w:t xml:space="preserve"> </w:t>
      </w:r>
      <w:r>
        <w:rPr>
          <w:rFonts w:ascii="Arial" w:cs="Arial" w:eastAsia="Arial" w:hAnsi="Arial"/>
          <w:sz w:val="17"/>
          <w:szCs w:val="17"/>
          <w:color w:val="auto"/>
        </w:rPr>
        <w:t>recurring basis with changes in fair value, whether realized or unrealized, recorded on the income statement. Fair value is determined based on quoted market rates when observable or by utilizing data points that are observable, such as quoted prices, interest rates or yield curves. During the fiscal year ended March 31, 2021, the Company disposed of its only</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marketable security. Accordingly, the Company did not have any marketable equity securities as of March 31, 2022.</w:t>
      </w:r>
    </w:p>
    <w:p>
      <w:pPr>
        <w:spacing w:after="0" w:line="131" w:lineRule="exact"/>
        <w:rPr>
          <w:sz w:val="20"/>
          <w:szCs w:val="20"/>
          <w:color w:val="auto"/>
        </w:rPr>
      </w:pPr>
    </w:p>
    <w:p>
      <w:pPr>
        <w:ind w:left="1080" w:right="120" w:hanging="424"/>
        <w:spacing w:after="0" w:line="25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Non-marketable equity securities </w:t>
      </w:r>
      <w:r>
        <w:rPr>
          <w:rFonts w:ascii="Arial" w:cs="Arial" w:eastAsia="Arial" w:hAnsi="Arial"/>
          <w:sz w:val="18"/>
          <w:szCs w:val="18"/>
          <w:color w:val="auto"/>
        </w:rPr>
        <w:t>are equity securities without readily determinable fair values and for which the Company does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exercise significant influence that are recorded either at fair value on a recurring basis with changes in fair value, whether realized or unrealized, recorded on the income statement or by election, measured and recorded using a measurement alternative that measures the securities at cost minus impairment, if any, plus or minus changes resulting from qualifying observable price changes recorded on the income statement.</w:t>
      </w:r>
    </w:p>
    <w:p>
      <w:pPr>
        <w:spacing w:after="0" w:line="93"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Equity method investments </w:t>
      </w:r>
      <w:r>
        <w:rPr>
          <w:rFonts w:ascii="Arial" w:cs="Arial" w:eastAsia="Arial" w:hAnsi="Arial"/>
          <w:sz w:val="17"/>
          <w:szCs w:val="17"/>
          <w:color w:val="auto"/>
        </w:rPr>
        <w:t>are equity securities in investees in which the Company does not control but has the ability to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influence. Investments in limited partnerships or certain limited liability companies that maintain a specific ownership account for each investor are accounted for using the equity method when the Company has more than virtually no influence (</w:t>
      </w:r>
      <w:r>
        <w:rPr>
          <w:rFonts w:ascii="Arial" w:cs="Arial" w:eastAsia="Arial" w:hAnsi="Arial"/>
          <w:sz w:val="17"/>
          <w:szCs w:val="17"/>
          <w:i w:val="1"/>
          <w:iCs w:val="1"/>
          <w:color w:val="auto"/>
        </w:rPr>
        <w:t>i.e</w:t>
      </w:r>
      <w:r>
        <w:rPr>
          <w:rFonts w:ascii="Arial" w:cs="Arial" w:eastAsia="Arial" w:hAnsi="Arial"/>
          <w:sz w:val="17"/>
          <w:szCs w:val="17"/>
          <w:color w:val="auto"/>
        </w:rPr>
        <w:t>., at least 3% to 5% ownership). The Company has elected to account for certain equity method investments under the fair value option. These investments are recorded at fair value with changes in fair value recorded on the income statement. Where the Company has not elected the fair value option, equity method investments are recorded at cost minus impairment, if any, plus or minus the Company’s share of the equity method investees’ income or loss recorded on the income statement.</w:t>
      </w:r>
    </w:p>
    <w:p>
      <w:pPr>
        <w:spacing w:after="0" w:line="17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For certain non-marketable equity securities and equity method investments, the Company has elected to apply the net asset value (“NAV”) practical expedient, where NAV is the estimated fair value of the investments. For these securities estimated fair values are determined based on the indicated market values of the underlying assets or investment portfolios. Income statement activity for all equity investments is recorded in income from equity investments, net on the Consolidated Income Statements.</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carrying values of non-marketable equity securities under the measurement alternative are adjusted for qualifying observable price changes resulting from the issuance of similar or identical securities in an orderly transaction by the same issuer. Determining whether an observed transaction is similar to a security within the Company’s portfolio requires judgment based on the rights and preferences of the securities. Recording upward and downward adjustments to the carrying values of equity securities as a result of observable price changes requires quantitative assessments of the fair values of the Company’s equity securities using various valuation methodologies and involves the use of estimates.</w:t>
      </w:r>
    </w:p>
    <w:p>
      <w:pPr>
        <w:spacing w:after="0" w:line="16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Non-marketable equity securities under the measurement alternative and equity method investments not measured under the fair value option (collectively referred to as “non-marketable equity securities”) are also subject to periodic impairment analysis. The quarterly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the Company prepares quantitative assessments of the fair value of the non-marketable equity securities using both the market and income approaches, which require judgment and the use of estimates, including discount rates, investee revenue and costs, and comparable market data of private and public companies, among others.</w:t>
      </w:r>
    </w:p>
    <w:p>
      <w:pPr>
        <w:spacing w:after="0" w:line="166"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Non-marketable equity securities under the measurement alternative are tested for impairment using a qualitative model similar to the model used to test goodwill and other long-lived assets for impairment. Upon determining an impairment may exist, the security’s fair value is calculated and compared to its carrying value and an impairment is recognized immediately if the carrying value exceeds fair value.</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Equity method investments not measured under the fair value option are subject to periodic impairment reviews using the other-than-temporary impairment model, which considers the severity and duration of a decline in fair value below cost and the Company’s ability and intent to hold the investment for a sufficient period of time to allow for recovery.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Receivable</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Loans receivable consist of term loans to a related party and other entities. The term loans are recorded at amortized cost, net of allowances for loan losses. The Company maintains an allowance for current expected credit losses to reserve for potentially uncollectible loans receivable. The Company measures interest income for all loans receivable using the interest method, which is based on the effective yield of the loans rather than the stated coupon rate. The Company classifies loans receivable in other non-currents assets on the Consolidated Balance Sheet.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Convertible loans receivable consist of convertible loans to certain entities. The Company has elected to apply the fair value option to account for such convertible loans receivable. Under the fair value option, such convertible loans receivable are measured initially and subsequently at fair value with changes in fair value recorded in other non-operating income (loss), net on the Consolidated Income Statements. Convertible loans receivable are included under other non-current assets in the Consolidated Balance Sheet.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Company measures certain assets and liabilities at fair value, either upon initial recognition or for subsequent accounting or reporting. Fair value is defined as the price that would be received to sell an asset or be paid to transfer a liability in an orderly transaction between market participants at the measurement date (exit price). When determining fair value, the Company considers the principal or most advantageous market in which the Company would transact, as well as assumptions that market participants would use when pricing the asset or liability. When estimating fair value, depending on the nature and complexity of the asset or liability, the Company may use one or all of the following techniques:</w:t>
      </w:r>
    </w:p>
    <w:p>
      <w:pPr>
        <w:spacing w:after="0" w:line="67" w:lineRule="exact"/>
        <w:rPr>
          <w:sz w:val="20"/>
          <w:szCs w:val="20"/>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Income approach, which is based on the present value of a future stream of net cash flows.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Market approach, which is based on market prices and other information from market transactions involving identical or comparable assets or liabilities.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Cost approach, which is based on the cost to acquire or construct comparable assets, less an allowance for functional and/or economic obsolescence.</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Fair value disclosures are classified based on the fair value hierarchy, which prioritizes the inputs used in the valuation methodologies in measuring fair value:</w:t>
      </w:r>
    </w:p>
    <w:p>
      <w:pPr>
        <w:spacing w:after="0" w:line="76" w:lineRule="exact"/>
        <w:rPr>
          <w:sz w:val="20"/>
          <w:szCs w:val="20"/>
          <w:color w:val="auto"/>
        </w:rPr>
      </w:pPr>
    </w:p>
    <w:p>
      <w:pPr>
        <w:ind w:left="1080" w:right="52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that are accessible at the measurement date for identical, unrestricted assets or liabilities.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660" w:firstLine="536"/>
        <w:spacing w:after="0" w:line="527" w:lineRule="auto"/>
        <w:tabs>
          <w:tab w:leader="none" w:pos="109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Level 3—Prices or valuation techniques requiring inputs that are both significant to the fair value measurement and unobservable. Please refer to Note 12,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for further discussion on the Company’s fair value measurements.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uses the acquisition method of accounting for business combinations, which requires separate recognition of assets acquired and liabilities assumed from goodwill, based on their estimated fair values at the time of acquisition. Goodwill as of the acquisition date is measured as the excess of consideration transferred and the fair value of any non-controlling interests in the acquiree over the net of the estimated acquisition date fair values of the assets acquired and liabilities assumed. The estimates and assumptions used in valuing intangible assets include, but are not limited to, the amount and timing of projected future cash flows, discount rate used to determine the present value of these cash flows and the useful lives of the assets. Although the Company’s fair value estimates are based upon assumptions believed to be reasonable, these estimates and assumptions are inherently uncertain and subject to refinement.</w:t>
      </w:r>
    </w:p>
    <w:p>
      <w:pPr>
        <w:spacing w:after="0" w:line="195" w:lineRule="exact"/>
        <w:rPr>
          <w:sz w:val="20"/>
          <w:szCs w:val="20"/>
          <w:color w:val="auto"/>
        </w:rPr>
      </w:pPr>
    </w:p>
    <w:p>
      <w:pPr>
        <w:jc w:val="both"/>
        <w:ind w:left="120" w:right="220"/>
        <w:spacing w:after="0" w:line="301" w:lineRule="auto"/>
        <w:rPr>
          <w:sz w:val="20"/>
          <w:szCs w:val="20"/>
          <w:color w:val="auto"/>
        </w:rPr>
      </w:pPr>
      <w:r>
        <w:rPr>
          <w:rFonts w:ascii="Arial" w:cs="Arial" w:eastAsia="Arial" w:hAnsi="Arial"/>
          <w:sz w:val="16"/>
          <w:szCs w:val="16"/>
          <w:color w:val="auto"/>
        </w:rPr>
        <w:t>As a result, during the measurement period up to one year from the acquisition date, the Company may record adjustments to the assets acquired and liabilities assumed with the corresponding offset to goodwill. Upon conclusion of the measurement period or final determination of fair values of the purchase price of an acquisition, whichever comes first, any subsequent adjustments are recorded in earnings on the Consolidated Income Statements. Acquisition-related expenses are recognized separately from the business combination and expensed as incurred.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Goodwill represents the excess of cost over the fair value of net assets acquired in a business combination. Goodwill is tested for impairment annually during the fourth fiscal quarter or during interim periods whenever events and circumstances indicate an impairment may have occurred. The identification and measurement of goodwill impairment involves the estimation of fair value at the Company’s reporting unit level, which is the same or one level below the operating segment level. The Company determined it has one reporting unit.</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has the option to assess qualitative factors first to determine whether it is necessary to perform the two-step test. If the Company believes, as a result of the qualitative assessment, that it is more-likely-than-not that the fair value of the reporting unit is less than its carrying amount, the two-step quantitative impairment test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completed its annual goodwill impairment test in the fourth fiscal quarter of the fiscal year ended March 31, 2022. It was determined, after performing a qualitative review, it was not more-likely-than-not that the fair value of the Company’s single reporting unit was less than its carrying amount. Accordingly, there was no indication of impairment.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Intangible assets primarily represent acquired intangible assets, including those acquired separately, such as computer software and purchased patents and licenses to use technology, as well as those acquired through business combination such as in-process research and development (“IPR&amp;D”), developed technology and customer relationship assets.</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Company initially records intangible assets acquired in a business combination at their estimated fair value. Intangible assets are reported net of accumulated amortization and are amortized over their estimated useful lives at amortization rates that are proportionate to each asset’s estimated economic benefit. The Company initially capitalizes the fair value of IPR&amp;D as an intangible asset with an indefinite life. When IPR&amp;D projects are ready for use, they are treated as an amortizable intangible asset and amortized over the asset’s estimated useful life, which is usually between one and five years.</w:t>
      </w:r>
    </w:p>
    <w:p>
      <w:pPr>
        <w:spacing w:after="0" w:line="18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Amortization of intangible assets is recorded in either cost of sales, research &amp; development or selling, general and administrative expenses on the Consolidated Income Statements depending on the nature of the underlying asset and uses by the Company.</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cost of intangible assets is amortized and recorded on the income statement on a straight-line basis over the estimated useful lives of the underlying assets. Useful lives are reviewed each year and adjustments are made, where applicable, on a prospective basis. The estimated useful lives of the Company’s intangible assets are as follows: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Patents and licenses</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83"/>
              </w:rPr>
              <w:t>– 11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Computer software</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94"/>
              </w:rPr>
              <w:t>– 5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Developed technology</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1</w:t>
            </w:r>
          </w:p>
        </w:tc>
        <w:tc>
          <w:tcPr>
            <w:tcW w:w="760" w:type="dxa"/>
            <w:vAlign w:val="bottom"/>
          </w:tcPr>
          <w:p>
            <w:pPr>
              <w:ind w:left="40"/>
              <w:spacing w:after="0"/>
              <w:rPr>
                <w:sz w:val="20"/>
                <w:szCs w:val="20"/>
                <w:color w:val="auto"/>
              </w:rPr>
            </w:pPr>
            <w:r>
              <w:rPr>
                <w:rFonts w:ascii="Arial" w:cs="Arial" w:eastAsia="Arial" w:hAnsi="Arial"/>
                <w:sz w:val="18"/>
                <w:szCs w:val="18"/>
                <w:color w:val="auto"/>
                <w:w w:val="94"/>
              </w:rPr>
              <w:t>– 8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1</w:t>
            </w:r>
          </w:p>
        </w:tc>
        <w:tc>
          <w:tcPr>
            <w:tcW w:w="760" w:type="dxa"/>
            <w:vAlign w:val="bottom"/>
          </w:tcPr>
          <w:p>
            <w:pPr>
              <w:ind w:left="40"/>
              <w:spacing w:after="0"/>
              <w:rPr>
                <w:sz w:val="20"/>
                <w:szCs w:val="20"/>
                <w:color w:val="auto"/>
              </w:rPr>
            </w:pPr>
            <w:r>
              <w:rPr>
                <w:rFonts w:ascii="Arial" w:cs="Arial" w:eastAsia="Arial" w:hAnsi="Arial"/>
                <w:sz w:val="18"/>
                <w:szCs w:val="18"/>
                <w:color w:val="auto"/>
                <w:w w:val="94"/>
              </w:rPr>
              <w:t>– 6 years</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Trade names</w:t>
            </w:r>
          </w:p>
        </w:tc>
        <w:tc>
          <w:tcPr>
            <w:tcW w:w="2000" w:type="dxa"/>
            <w:vAlign w:val="bottom"/>
            <w:gridSpan w:val="2"/>
          </w:tcPr>
          <w:p>
            <w:pPr>
              <w:ind w:left="1140"/>
              <w:spacing w:after="0"/>
              <w:rPr>
                <w:sz w:val="20"/>
                <w:szCs w:val="20"/>
                <w:color w:val="auto"/>
              </w:rPr>
            </w:pPr>
            <w:r>
              <w:rPr>
                <w:rFonts w:ascii="Arial" w:cs="Arial" w:eastAsia="Arial" w:hAnsi="Arial"/>
                <w:sz w:val="18"/>
                <w:szCs w:val="18"/>
                <w:color w:val="auto"/>
              </w:rPr>
              <w:t>4 years</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Development Costs and Acquired Intangible Software</w:t>
      </w:r>
    </w:p>
    <w:p>
      <w:pPr>
        <w:spacing w:after="0" w:line="117"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Company has not historically capitalized software development costs for software to be sold, leased or otherwise marketed as the time and cost incurred between technological feasibility and product release has been determined to be immaterial. As such, these development costs are generally recognized as incurred in research and development on the Consolidated Income Statements.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capitalizes certain development costs related to software acquired, developed or modified for internal use, along with certain costs incurred in connection with the implementation of internal use software. Costs related to certain application development activities are subject to capitalization. Costs related to preliminary project and post implementation activities are expensed as incurred. Amortization begins once the software is ready for its intended use, and amortization expense is generally recognized on a straight-line basis over the software’s estimated useful life between three and five years.</w:t>
      </w:r>
    </w:p>
    <w:p>
      <w:pPr>
        <w:spacing w:after="0" w:line="188"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Capitalized costs related to internal use software, net of accumulated amortization, are included in intangible assets, net on the Consolidated Balance Sheet and amortization expense is recognized in selling, general and administrative on the Consolidated Income Statements.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impairment losses. Cost comprises expenditures directly attributable to the purchase of the asset. Assets are depreciated to their estimated residual value, on a straight-line basis, over the estimated useful life of the underlying asset. Estimated useful lives and residual values are reviewed at each reporting date. Depreciation on property and equipment is recorded in cost of sales, research &amp; development or selling, general and administrative expenses on the Consolidated Income Statements depending on the nature of the underlying asset and uses by the Company.</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useful lives of the Company’s property and equipment are as follows:</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Leasehold improvements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Fixtures and motor vehicles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5 – 10 years or the remaining lease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200" w:lineRule="exact"/>
        <w:rPr>
          <w:sz w:val="20"/>
          <w:szCs w:val="20"/>
          <w:color w:val="auto"/>
        </w:rPr>
      </w:pPr>
    </w:p>
    <w:p>
      <w:pPr>
        <w:sectPr>
          <w:pgSz w:w="11900" w:h="16838" w:orient="portrait"/>
          <w:cols w:equalWidth="0" w:num="2">
            <w:col w:w="3800" w:space="720"/>
            <w:col w:w="6600"/>
          </w:cols>
          <w:pgMar w:left="320" w:top="459" w:right="459" w:bottom="1440" w:gutter="0" w:footer="0" w:header="0"/>
          <w:type w:val="continuous"/>
        </w:sectPr>
      </w:pPr>
    </w:p>
    <w:p>
      <w:pPr>
        <w:spacing w:after="0" w:line="1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An item of property or equipment is written off either upon disposal or when there is no expected future economic benefit from its continued use. Gain or loss on derecognition of the asset (calculated as the difference between the net disposal proceeds and the carrying value of the asset) is included in the income statement in the year the asset is derecognized.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 Other than Goodwill</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 reviews long-lived assets other than goodwill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 is determined based on quoted market values, discounted cash flows, or external appraisals, as applicable. Impairment losses are recorded in impairment of long-lived assets on the Consolidated Income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 The Company recognizes right-of-use assets and operating lease liabilities for lessee operating leases other than those with a term of 12 months or less as the Company has elected to apply the short-term lease recognition exemption. Right-of-use assets represent the right to use an underlying asset for the lease term and lease liabilities represent an obligation to make lease payments over the lease term.</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Operating lease right-of-use assets and lease liabilities are measured at the lease commencement date based on the present value of the remaining lease payments over the lease term, discounted using the Company’s incremental borrowing rate, which approximates the interest rate at which the Company could borrow on a collateralized basis with similar terms and payments and in similar economic environments. Operating lease right-of-use assets also include initial direct costs incurred and prepaid lease payments, minus any lease incentives. Lease terms include options to extend or terminate the lease when it is reasonably certain that the option will be exercised. All lease and non-lease components, principally common area maintenance costs, are combined in determining operating lease right-of-use assets and lease liabilities. For operating leases, lease expense is recognized on a straight-line basis over the lease term.</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An asset retirement obligation (“ARO”) is recorded as appropriate on assets for which the Company has a legal obligation to retire. The Company records a liability for an ARO and the associated asset retirement cost at the time the underlying asset is acquired and put into service. Subsequent to the initial measurement of the ARO, the obligation is adjusted at the end of each period to reflect the passage of time and changes in the estimated future</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type w:val="continuous"/>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cash flows underlying the obligation, if any. Over time, the liability is accreted to its present value and the capitalized cost is depreciated over the estimated useful life of the asset. The Company has recognized AROs for contractually mandated removal of leasehold improvements.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The Company’s activities expose it to a number of financial risks, including cash flow risk, credit risk and liquidity risk. The use of derivative financial instruments is governed by the Company’s policies approved by the Board of Directors, which provide written principles on the use of derivative financial instruments to manage these risks. The Company does not use derivative financial instruments for speculative purposes.</w:t>
      </w:r>
    </w:p>
    <w:p>
      <w:pPr>
        <w:spacing w:after="0" w:line="165"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Company enters into foreign currency forward contracts to economically hedge its currency exchange rate risk. The fair value of foreign currency forward contracts is estimated by discounting expected future cash flows at prevailing interest rates, and by applying year-end exchange rates.</w:t>
      </w:r>
    </w:p>
    <w:p>
      <w:pPr>
        <w:spacing w:after="0" w:line="12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Gains or losses arising from changes in the fair value of derivative financial instruments are recorded in other non-operating income (loss), net on the Consolidated Income Statements in the period in which they arise.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recognizes revenues for the transfer of products or services to customers in an amount that reflects the consideration to which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expects to be entitled in exchange for those products or services. The principle is achieved through the following five-step approach:</w:t>
      </w:r>
    </w:p>
    <w:p>
      <w:pPr>
        <w:spacing w:after="0" w:line="128"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Identification of the contract with the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Identification of the performance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for the Company’s major product offerings consists of the following: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and Other Revenue</w:t>
      </w:r>
    </w:p>
    <w:p>
      <w:pPr>
        <w:spacing w:after="0" w:line="131" w:lineRule="exact"/>
        <w:rPr>
          <w:sz w:val="20"/>
          <w:szCs w:val="20"/>
          <w:color w:val="auto"/>
        </w:rPr>
      </w:pPr>
    </w:p>
    <w:p>
      <w:pPr>
        <w:ind w:left="1080" w:right="40" w:hanging="424"/>
        <w:spacing w:after="0" w:line="271"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license </w:t>
      </w:r>
      <w:r>
        <w:rPr>
          <w:rFonts w:ascii="Arial" w:cs="Arial" w:eastAsia="Arial" w:hAnsi="Arial"/>
          <w:sz w:val="17"/>
          <w:szCs w:val="17"/>
          <w:color w:val="auto"/>
        </w:rPr>
        <w:t>— The Company generally licenses IP under non-exclusive license agreements that provide usage rights for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license term, whichever is later. Revenue allocated to distinct version extensions of architecture IP or releases of IP, excluding when-and-if-available minor updates over support term, are recognized at a point in time upon the delivery or beginning of license term, whichever is later.</w:t>
      </w:r>
    </w:p>
    <w:p>
      <w:pPr>
        <w:spacing w:after="0" w:line="205"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Software sales, including development systems </w:t>
      </w:r>
      <w:r>
        <w:rPr>
          <w:rFonts w:ascii="Arial" w:cs="Arial" w:eastAsia="Arial" w:hAnsi="Arial"/>
          <w:sz w:val="18"/>
          <w:szCs w:val="18"/>
          <w:color w:val="auto"/>
        </w:rPr>
        <w:t>— Sales of software, including development systems, which are not specifically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for a given license (such as off-the-shelf software), are recognized upon delivery when control has been transferred and customer can begin to use and benefit from the license.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080" w:right="40" w:hanging="424"/>
        <w:spacing w:after="0" w:line="273"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 xml:space="preserve">Professional services </w:t>
      </w:r>
      <w:r>
        <w:rPr>
          <w:rFonts w:ascii="Arial" w:cs="Arial" w:eastAsia="Arial" w:hAnsi="Arial"/>
          <w:sz w:val="17"/>
          <w:szCs w:val="17"/>
          <w:color w:val="auto"/>
        </w:rPr>
        <w:t>— Services (such as training and professional and design services) that the Company provides, which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w:t>
      </w:r>
    </w:p>
    <w:p>
      <w:pPr>
        <w:spacing w:after="0" w:line="83" w:lineRule="exact"/>
        <w:rPr>
          <w:rFonts w:ascii="Arial" w:cs="Arial" w:eastAsia="Arial" w:hAnsi="Arial"/>
          <w:sz w:val="17"/>
          <w:szCs w:val="17"/>
          <w:color w:val="auto"/>
        </w:rPr>
      </w:pPr>
    </w:p>
    <w:p>
      <w:pPr>
        <w:ind w:left="1080" w:right="18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Support and maintenance </w:t>
      </w:r>
      <w:r>
        <w:rPr>
          <w:rFonts w:ascii="Arial" w:cs="Arial" w:eastAsia="Arial" w:hAnsi="Arial"/>
          <w:sz w:val="18"/>
          <w:szCs w:val="18"/>
          <w:color w:val="auto"/>
        </w:rPr>
        <w:t>— Support and maintenance is a stand-ready obligation to the customer that is both provided and consumed</w:t>
      </w:r>
      <w:r>
        <w:rPr>
          <w:rFonts w:ascii="Arial" w:cs="Arial" w:eastAsia="Arial" w:hAnsi="Arial"/>
          <w:sz w:val="18"/>
          <w:szCs w:val="18"/>
          <w:i w:val="1"/>
          <w:iCs w:val="1"/>
          <w:color w:val="auto"/>
        </w:rPr>
        <w:t xml:space="preserve"> </w:t>
      </w:r>
      <w:r>
        <w:rPr>
          <w:rFonts w:ascii="Arial" w:cs="Arial" w:eastAsia="Arial" w:hAnsi="Arial"/>
          <w:sz w:val="18"/>
          <w:szCs w:val="18"/>
          <w:color w:val="auto"/>
        </w:rPr>
        <w:t>simultaneously. Revenue is recognized on a straight-line basis over the period for which support and maintenance is contractually agreed pursuant to the license.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Revenue</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For certain IP license agreements, royalties are collected on products that incorporate the Company’s IP. Royalties are recognized on an accrual basis in the quarter in which the customer ships their products, based on the Company’s technology that it contains. The accrual is estimated using trend analysis based on market and sales data as well as customer-specific financial information. As a result of estimating the amount of royalty revenue accrual in the period in which the customer sales occur using estimates based on sales trends and product information, adjustments to revenues are required in subsequent periods to reflect changes in estimates as new information becomes available, primarily resulting from actual amounts subsequently reported by the licensees.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Significant Judgments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Identification of the Contract with the Customer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accounts for a contract as a revenue contract when all of the following criteria are met:</w:t>
      </w:r>
    </w:p>
    <w:p>
      <w:pPr>
        <w:spacing w:after="0" w:line="131" w:lineRule="exact"/>
        <w:rPr>
          <w:sz w:val="20"/>
          <w:szCs w:val="20"/>
          <w:color w:val="auto"/>
        </w:rPr>
      </w:pPr>
    </w:p>
    <w:p>
      <w:pPr>
        <w:ind w:left="1080" w:right="30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contract has been approved (either in writing, orally or in accordance with other customary business practices) by the parties to the contract, and the parties are committed to perform their respective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can identify each party’s rights regarding goods or services to be transferred;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can identify the payment terms for the goods or services to be transferred;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Contracts have commercial substance;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is probable that the Company will collect the consideration to which it will be entitled to, in exchange for the goods or services to be transferred to the customer.</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 sometimes enters into multiple contracts with the same customer that are treated, for accounting purposes, as one contract if the contracts are entered into at, or near, the same time and are interrelated. Judgment is required in evaluating whether various contracts are interrelated, which includes considerations as to whether they were negotiated as a package with a single commercial objective, whether the amount of consideration on one contract is dependent on the performance of the other contract, or if some, or all, obligations in the contracts constitute a single performance obligation.</w:t>
      </w:r>
    </w:p>
    <w:p>
      <w:pPr>
        <w:spacing w:after="0" w:line="157"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New arrangements with existing customers can be based on either a new contract or the modification of prior contracts. The Company’s judgment in making this determination considers whether there is a connection between the new arrangement and the pre-existing contracts, whether the services under the new arrangement are highly interrelated with the products and services provided under prior contracts, and how the products and services under the new arrangement are priced.</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Company sometimes enters into non-cancellable and non-refundable committed funds arrangement from customers, where the parties have ongoing negotiations. Judgment is required in evaluating whether all rights and obligations of the arrangement are determined and enforceable.</w:t>
      </w:r>
    </w:p>
    <w:p>
      <w:pPr>
        <w:spacing w:after="0" w:line="14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Judgment is also required in determining whether collectability of substantially all of the consideration is probable. The Company assesses this through credit checks, past payment history or based on upfront payment prior to performance of the obligation(s).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Identification of The Performance Obligations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Customer contracts often include various products and services as outlined in the summary of major product groups above. Typically, these products and services qualify as separate performance obligations, and a portion of the contractual value is allocated to them. Judgment is required, however, in determining whether a good or service is considered a separate performance obligation.</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When selling licenses or services, the Company frequently grants customers the choice to acquire additional rights, goods or services (for example, renewals of offerings, version extensions through term renewals, additional future products, or additional volumes of purchased license). The Company also utilizes forward looking information such as product roadmaps and other marketing materials in identifying performance obligations for IPs or version extensions of architecture IP under development or future products, and in determining if implicit promises or material right exist in certain long-term contracts.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Determination of Transaction Price</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Company applies judgment when determining the amount of consideration it expects to be entitled to in exchange for transferring promised goods or services to a customer. This includes estimates as to whether, and to what extent, subsequent concessions or payments may be granted to customers, which release customers from their obligations to pay contractual fees. In this judgment, historical trends are considered with respect to both the specific customer and broader Company trends. The Company estimates the transaction price based on the amount expected to be received for transferring the promised goods or services in the contract. Consideration payable to a customer is accounted for as a reduction of the transaction price and, therefore, of revenue unless the payment to the customer is in exchange for a distinct good or service that the customer transfers to the Company. The transaction price also excludes amounts collected on behalf of third parties such as sales taxes. The Company’s revenue arrangements generally do not include variable consideration other than royalties. Where minimum royalties are agreed with customers and there is no uncertainty of their receipt, the amount is allocated to performance obligations as a part of the transaction price.</w:t>
      </w:r>
    </w:p>
    <w:p>
      <w:pPr>
        <w:spacing w:after="0" w:line="181" w:lineRule="exact"/>
        <w:rPr>
          <w:sz w:val="20"/>
          <w:szCs w:val="20"/>
          <w:color w:val="auto"/>
        </w:rPr>
      </w:pPr>
    </w:p>
    <w:p>
      <w:pPr>
        <w:jc w:val="both"/>
        <w:ind w:left="120" w:right="40"/>
        <w:spacing w:after="0" w:line="308" w:lineRule="auto"/>
        <w:rPr>
          <w:sz w:val="20"/>
          <w:szCs w:val="20"/>
          <w:color w:val="auto"/>
        </w:rPr>
      </w:pPr>
      <w:r>
        <w:rPr>
          <w:rFonts w:ascii="Arial" w:cs="Arial" w:eastAsia="Arial" w:hAnsi="Arial"/>
          <w:sz w:val="17"/>
          <w:szCs w:val="17"/>
          <w:color w:val="auto"/>
        </w:rPr>
        <w:t>The Company considers relevant facts and circumstances in assessing whether a contract contains a significant financing component. The Company has not identified significant financing components in its material revenue arrangements executed during the financial year.</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 of Transaction Price</w:t>
      </w:r>
    </w:p>
    <w:p>
      <w:pPr>
        <w:spacing w:after="0" w:line="117"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Judgment is required when estimating standalone selling prices (“SSPs”). There is also judgment involved in determining whether the pricing of certain performance obligations is highly variable or uncertain.</w:t>
      </w:r>
    </w:p>
    <w:p>
      <w:pPr>
        <w:spacing w:after="0" w:line="170"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color w:val="auto"/>
        </w:rPr>
        <w:t>Other than support and maintenance, SSPs are usually not directly observable for the Company’s products and services because the Company generally does not sell its products or services on a standalone basis. The Company estimates the SSPs so that the Company allocates the transaction price to each performance obligation in an amount that depicts the amount of consideration to which the Company expects to be entitled in exchange for transferring the promised goods or services to the customer. The Company allocates royalties entirely to the</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licenses that give rise to them, When estimating a SSP, the Company considers available information and maximized the use of observable inputs such as renewal pricing history for the Company’s standardized support and professional service offerings.</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offerings that have highly variable or uncertain pricing and lack substantial direct costs to estimate based on a cost-plus margin approach, the transaction price is allocated by applying a residual approach. This is on the basis that the Company has identified SSP for other performance obligations in the same arrangement. If two or more goods or services in a contract have highly variable or uncertain pricing, then the Company applies a combination of methods to allocate transaction price , including utilizing list prices, contract prices, and effort estimates of future IPs, for initial allocation of residual amount of transaction price within such products.</w:t>
      </w:r>
    </w:p>
    <w:p>
      <w:pPr>
        <w:spacing w:after="0" w:line="18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For customer agreements related to long-term licensing of architecture IP, the Company allocates the contract value to each of the performance obligations based on an estimate of the engineering efforts required to deliver the initial version of the IP as well as related future versions, including enhancements and upgrades.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SSPs of material rights depends on the probability of option exercise. In estimating these probabilities, judgement is utilized when considering historical exercise patterns. The SSPs are reviewed periodically or whenever facts and circumstances significantly change. These changes are applied prospectively.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from Arm China</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Arm Technology (China) Co. Limited (“Arm China”) acts as the Company’s exclusive IP distributor in the People’s Republic of China, which, or the purposes of these financial statements, includes the Hong Kong Special Administrative Region and the Macau Special Administrative Region, but excludes Taiwan (collectively referred to as the “PRC”), market under the intellectual property licensing arrangement (“IPLA”). As part of the IPLA arrangement, Arm China directly contracts with end customers with discretion in establishing pricing to sublicense specified IP. The Company’s responsibility under the IPLA is to facilitate delivery of a good or service to the end customer in accordance with detailed instructions and other specifications from Arm China. In these cases, Arm China is the customer for the Company. As such, revenue presented by the Company is the net amount calculated as a percentage of license and royalty fees earned by Arm China from sub-license arrangements entered into with end customers. The Company applies the royalty exception, under which revenue is recognized when the subsequent sale or usage occurs, assuming control of the license to which the royalty relates has transferred to the customer. Where the revenue is derived as a percentage of the license fee of Arm China, the Company categorizes that portion as license revenue while the other portion, which represents the Company’s share of Arm China’s royalties, is categorized as royalties.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Balances and Receivables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recognizes accounts receivable in full when it has the contractual right to invoice the customer and begins satisfying the performance obligation over the term of the contract. Judgment is required to determine whether a right to consideration is unconditional and thus qualifies as a receivable. Contract assets are recognized as the performance obligations are satisfied, and the Company does not have the contractual right to invoice. Accrued royalties are presented as accrued income in accounts receivable.</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Contract liabilities primarily reflect invoices due, or payments received in advance of revenue recognition. Typically, the Company invoices either all or a substantial portion of the fees for IP licenses upfront on the effective date of the contract. Periodic fixed fees for software support services, and other multi-period agreements, are typically invoiced in advance.</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60 days. In instances where the timing of revenue recognition differs from the timing of invoicing, the</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Company has determined that its contracts generally do not include a significant financing component. The primary purpose of the Company’s invoicing terms is to provide customers with simplified and predictable ways of purchasing products and services, such as invoicing at the beginning of a license term with revenue recognized ratably over the contract period, and not to receive financing from customers. Any potential financing fees are considered insignificant in the context of the Company’s contracts.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Allowance for Current Expected Credit Losses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Trade receivables are stated at their net realizable value. The allowance for credit losses reflects the Company’s best estimate of expected credit losses of the receivable portfolio determined on the basis of historical experience, current information, and forecasts of future economic conditions. In developing the estimate for expected credit losses, accounts receivable is segmented into pools of assets depending on market (China versus international) and delinquency status, and fixed reserve percentages are established for each pool of accounts receivables. To determine the reserve percentages for each pool of accounts receivables, the Company considers its historical experience with certain customers and customer types, regulatory and legal environments, country and political risk, and other relevant current and future forecasted macroeconomic factors. These credit risk indicators are monitored on a quarterly basis to determine whether there are any changes in the economic environment that would indicate the established reserve percentages should be adjusted and are considered on a regional basis to reflect more geographic-specific metrics. Please refer to Note 3,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for the summary of the movement in the allowance for current expected credit losses.</w:t>
      </w:r>
    </w:p>
    <w:p>
      <w:pPr>
        <w:spacing w:after="0" w:line="18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Additionally, write-offs and recoveries of customer receivables are tracked against collections on a quarterly basis to determine whether the reserve percentages remain appropriate. When management becomes aware of certain customer-specific factors that impact credit risk, specific allowances for these known troubled accounts are recorded. Accounts receivables are written off after all reasonable means to collect the full amount (including litigation, where appropriate) are exhausted. For the fiscal years ended March 31, 2022 and 2021, write-offs and recoveries of customer receivables were immaterial to the consolidated financial statements.</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recognizes an allowance for losses on contract assets based on a similar approach used for receivables under the current expected credit loss model. As of March 31, 2022, the loss allowance for contract assets was immaterial.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Restricted share units (“RSU”) are granted to both employees and certain members of the Company’s Executive Committee and require continuous service through the vesting date and the achievement of a market-condition target, and vesting occurs on the earliest of the following: (1) the occurrence of one of various liquidity events comprising a change in control of the Company, (2) an initial public offering of the Company’s ordinary shares (“IPO”), and (3) the passage of time. The number of RSUs that vest is determined by achievement of a market condition. The market condition target is tied to the valuation of the Company upon vesting. At the discretion of the Company’s Remuneration Committee and upon the occurrence of a change in control or an IPO, each RSU converts into one ordinary share on the vesting date. Conversely, upon the passage of time each RSU is settled in cash at the vesting date.</w:t>
      </w:r>
    </w:p>
    <w:p>
      <w:pPr>
        <w:spacing w:after="0" w:line="195"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The Company expenses share-based compensation over the requisite service period of the awards, which is generally equivalent to the vesting term. Compensation expense is recorded only for those awards expected to vest. The fair value of RSUs is determined on the date of grant and at the end of each reporting period using Monte Carlo simulations or the discounted cash flow approach. The fair value of phantom shares (“Phantom Shares”) is determined on the date of grant and at the end of each reporting period based on the share price of the Company’s ultimate parent, SoftBank.</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Company classifies those awards in which the Company has the option, pursuant to the plan terms, and intends to settle in cash, as liability-classified awards. Both RSUs and Phantom Shares are liability-classified and are remeasured at the end of each reporting period through the date of settlement so that the expense recognized for each award is equivalent to the amount to be paid in cash.</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 change in control or an IPO is generally not considered probable until it has occurred. Accordingly, as of the balance sheet date, the RSUs are expected to vest and be settled in cash upon the passage of time. The weighted average fair value of the RSUs was measured at each reporting date using the Monte Carlo simulation model or a discounted cash flow approach. For the fiscal year ended March 31, 2021, the Company used the discounted cash flow approach based on the expected value of the Company as a result of a business combination which was considered likely. For the other years presented, the Company used the Monte Carlo simulation to measure the RSUs at each reporting period. Changes in the fair value of liability-classified RSUs are recorded in the income statement over the vesting period of the award. The Monte Carlo simulation model simulates the Company’s equity value at an assumed listing exit event in order to determine the RSU vesting percentage. The model simulates the RSU vesting percentage over numerous iterations, and the average of all iterations is determined to be the fair value of an RSU. The model then discounts the future value of the RSU at the assumed listing exit event date back to the valuation date based on the relevant risk-free interest rate. The Monte Carlo simulation model incorporates various assumptions such as expected stock price volatility until a liquidity event, expected dividend yield, risk-free interest rate, and expected time to complete an IPO.</w:t>
      </w:r>
    </w:p>
    <w:p>
      <w:pPr>
        <w:spacing w:after="0" w:line="18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Phantom Shares are also granted to certain members of the Company’s Executive Committee, are subject to continuous service, and the number of Phantom Shares that vest is linked to certain strategic performance conditions of the Company. Phantom Shares are settled in cash upon vesting, liability-classified, and are expensed when the performance targets are considered probable of being achieved. The weighted average fair value of Phantom Shares is measured at each reporting date based on the share price of the Company’s ultimate parent, SoftBank. Changes in the fair value of the Phantom Shares are recorded in selling, general and administrative expense on the Consolidated Income Statements over the vesting period of the award.</w:t>
      </w:r>
    </w:p>
    <w:p>
      <w:pPr>
        <w:spacing w:after="0" w:line="192"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At the grant date of the RSUs, the Company was private and its ordinary shares were not listed on a public stock exchange. Therefore, the Company’s Board of Directors exercised its reasonable judgment and considered numerous objective and subjective factors to determine the best estimate of fair value of the Company’s ordinary shares underlying share-based compensation awards, including:</w:t>
      </w:r>
    </w:p>
    <w:p>
      <w:pPr>
        <w:spacing w:after="0" w:line="89" w:lineRule="exact"/>
        <w:rPr>
          <w:sz w:val="20"/>
          <w:szCs w:val="20"/>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contemporaneous independent third-party valuations of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financial condition, results of operations, and capital resources;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lack of marketability of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estimates of future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market performance and valuations of comparable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status of the Company’s development, product introduction, and sales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industry outlook and other information, such as market growth and volume and macro-economic events;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the Company’s business.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To determine the fair value of ordinary shares, the Company first estimated the enterprise value and then allocated that enterprise value to ordinary shares and ordinary share equivalents. The Company’s enterprise value was estimated using the income and market-calibration approaches.</w:t>
      </w:r>
    </w:p>
    <w:p>
      <w:pPr>
        <w:spacing w:after="0" w:line="12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prepared a financial forecast to be used in the computation of the value of invested capital for both the income approach and market 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market 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Monte Carlo simulations incorporate highly subjective assumptions, such as stock price volatility and expected volatility until a liquidity event. Changes in highly subjective assumptions could significantly impact share-based compensation expense. Since the Company’s ordinary shares were not publicly traded, the computation of expected volatility was based on the average of historical and implied volatilities over the expected term of the awards of a representative peer group of publicly traded entities. Other assumptions included expected term, risk-free interest rate and dividend yield. The risk-free interest rate was based on zero-coupon United States Treasury bond rates corresponding to the expected term of the awards. Dividend assumptions were based on historical experience.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estimates forfeitures based on employee level, economic conditions, time remaining to vest and historical forfeiture experience.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Cost of sales expenses consist primarily of employee-related expenses and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and other development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Selling, general and administrative expenses consist primarily of employee-related expenses, including salaries, bonuses, share-based compensation, and benefits associated with employees in sales and marketing, along with</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corporate and administrative functions, including accounting and legal professional services fees, depreciation and amortization, advertising expenses, allocated overhead, and other corporate-related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 and Related Costs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Restructuring and related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 xml:space="preserve">The Company receives government grants to compensate for its research activities. GAAP does not contain authoritative guidance for incentives and grants provided by governmental entities to a for-profit entity. Absent authoritative guidance, interpretative guidance issued and commonly applied by financial statement preparers allows for the selection of accounting policies amongst acceptable alternatives. Based on facts and circumstances, the Company determined it most appropriate to account for the government grants received by analogy to International Accounting Standards 20, </w:t>
      </w:r>
      <w:r>
        <w:rPr>
          <w:rFonts w:ascii="Arial" w:cs="Arial" w:eastAsia="Arial" w:hAnsi="Arial"/>
          <w:sz w:val="17"/>
          <w:szCs w:val="17"/>
          <w:i w:val="1"/>
          <w:iCs w:val="1"/>
          <w:color w:val="auto"/>
        </w:rPr>
        <w:t xml:space="preserve">Accounting for Government Grants and Disclosure of Government Assistance </w:t>
      </w:r>
      <w:r>
        <w:rPr>
          <w:rFonts w:ascii="Arial" w:cs="Arial" w:eastAsia="Arial" w:hAnsi="Arial"/>
          <w:sz w:val="17"/>
          <w:szCs w:val="17"/>
          <w:color w:val="auto"/>
        </w:rPr>
        <w:t>(“IAS 20”).</w:t>
      </w:r>
    </w:p>
    <w:p>
      <w:pPr>
        <w:spacing w:after="0" w:line="176" w:lineRule="exact"/>
        <w:rPr>
          <w:sz w:val="20"/>
          <w:szCs w:val="20"/>
          <w:color w:val="auto"/>
        </w:rPr>
      </w:pPr>
    </w:p>
    <w:p>
      <w:pPr>
        <w:ind w:left="120" w:right="180"/>
        <w:spacing w:after="0" w:line="290" w:lineRule="auto"/>
        <w:rPr>
          <w:sz w:val="20"/>
          <w:szCs w:val="20"/>
          <w:color w:val="auto"/>
        </w:rPr>
      </w:pPr>
      <w:r>
        <w:rPr>
          <w:rFonts w:ascii="Arial" w:cs="Arial" w:eastAsia="Arial" w:hAnsi="Arial"/>
          <w:sz w:val="16"/>
          <w:szCs w:val="16"/>
          <w:color w:val="auto"/>
        </w:rPr>
        <w:t>Under the provisions of IAS 20, a government grant is recognized when there is reasonable assurance the Company will meet the terms for receiving and realizing the benefit of the grant. IAS 20 does not define “reasonable assurance,” however, based on certain interpretations, it is analogous to “probable” as defined under GAAP, which is the definition the Company has applied to its government grants received. Under IAS 20, government grants are recognized in earnings on a systematic basis over the periods in which the Company recognizes costs for which the grant is intended to compensate (</w:t>
      </w:r>
      <w:r>
        <w:rPr>
          <w:rFonts w:ascii="Arial" w:cs="Arial" w:eastAsia="Arial" w:hAnsi="Arial"/>
          <w:sz w:val="16"/>
          <w:szCs w:val="16"/>
          <w:i w:val="1"/>
          <w:iCs w:val="1"/>
          <w:color w:val="auto"/>
        </w:rPr>
        <w:t>i.e.</w:t>
      </w:r>
      <w:r>
        <w:rPr>
          <w:rFonts w:ascii="Arial" w:cs="Arial" w:eastAsia="Arial" w:hAnsi="Arial"/>
          <w:sz w:val="16"/>
          <w:szCs w:val="16"/>
          <w:color w:val="auto"/>
        </w:rPr>
        <w:t>, qualified expenses). Further, IAS 20 permits for the recognition in earnings either separately under a general heading such as other income, or as a reduction of the related expenses. The Company has elected to recognize the benefit as a reduction of the related expenses included in either research and development expenses or income tax expense on the Consolidated Income Statements. For the fiscal years ended March 31, 2022 and 2021, the government grant benefit recognized was $84.3 million and $94.4 million, respectively.</w:t>
      </w:r>
    </w:p>
    <w:p>
      <w:pPr>
        <w:spacing w:after="0" w:line="16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government grant benefit received includes a grant from Innovate U.K. for work connected to the creation of a new centrally secured technology platform prototype. For the fiscal years ended March 31, 2022 and 2021, the Company recorded a reduction to research and development expenses from this grant of $15.3 million and $23.8 million, respectively. The maximum total value of the Innovate U.K. contract is $44.7 million.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Company computes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Deferred tax assets and liabilities are measured using currently enacted tax rates that apply to taxable income in effect for the years in which those tax assets are expected to be realized or settled.</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9" w:right="49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the Company determines it is more likely than not that it will not generate sufficient taxable income to realize the value of some or all deferred tax assets (net of deferred tax liabilities), the Company will establish a valuation allowance offsetting the amount it does not expect to realize. The Company performs this analysis each reporting period and reduces the measurement of deferred taxes if the likelihood the Company will realize them becomes uncertain.</w:t>
      </w:r>
    </w:p>
    <w:p>
      <w:pPr>
        <w:spacing w:after="0" w:line="18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Deferred tax assets the Company records each period depend primarily on the ability to generate future taxable income. Each period, the Company evaluates the need for a valuation allowance against the deferred tax assets and, if necessary, adjusts the valuation allowance so that net deferred tax assets are recorded only to the extent the Company concludes it is more likely than not that these deferred tax assets will be realized. If the outlook for future taxable income changes significantly, the Company’s assessment of the need for, and the amount of, a valuation allowance may also change.</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is also required to evaluate and quantify other sources of taxable income, such as the possible reversal of future deferred tax liabilities and the implementation of tax planning strategies. Evaluating and quantifying these amounts is difficult and involves significant judgment, based on all of the available evidence and assumptions about future activities.</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Tax benefits from uncertain tax positions are recognized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Interest and penalties related to unrecognized tax benefits are recognized within income tax (expense) benefit on the Consolidated Income Statements.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 Attributable to Ordinary Shareholders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Basic income (loss) per ordinary share is computed by dividing net income attributable to ordinary shareholders by the weighted average number of ordinary shares outstanding during the period. Diluted earnings per share is computed by dividing net income (loss) attributable to ordinary shareholders by the weighted average number of ordinary shares and potentially dilutive ordinary shares outstanding during the period. Potentially dilutive ordinary shares whose effect would have been antidilutive are excluded from the computation of diluted earnings per ordinary share.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 disposal is categorized as a discontinued operation if the disposal group is a component of an entity or group of components that meets the held for sale criteria, is disposed of by sale or other than by sale, and represents a strategic shift that has or will have a major effect on an entity’s operations and financial results. The results of disposals that qualify as a discontinued operation are presented as such for all reporting periods presented. Results of discontinued operations include all revenues and expenses directly derived from such disposal group; general corporate overhead is not allocated to a discontinued operation. For disposals other than by sale such as a distribution to shareholders of the Company, results of operations of a business would not be recorded as a discontinued operation until the period in which the business is actually disposed of other than by sale.</w:t>
      </w:r>
    </w:p>
    <w:p>
      <w:pPr>
        <w:spacing w:after="0" w:line="164"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Following a strategic decision to place greater focus on the Company’s core technology licensing business, a decision was made to distribute or sell certain components of the Company’s Internet of Things business. As a result, in June 2021, the Company completed a pro rata distribution of its controlling stake in Treasure Data, Inc. and its subsidiaries (“Treasure Data”) to the immediate shareholders of the Company. In November 2021, the Company sold 100% of its ownership in Pelion IOT Limited and its subsidiaries (“IoTP”) to the immediate shareholders of the Company in exchange for $12.0 million in cash consideration. The distribution of Treasure Data and sale of IoTP were accounted for as discontinued operations.</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Revenue from IoTP and Treasure Data reported in loss on discontinued operations before income taxes on the Consolidated Income Statements relates to certain IP available through cloud-based infrastructure where the customer does not have the right to terminate the hosting contract. Under such arrangements, customers do not have the right to take possession of the software to run on their own IT infrastructure, nor do they have the right to engage a third-party provider to host and manage the software. Revenue for these arrangements is recognized over time as the services are performed.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specified otherwise, the accompanying notes to the consolidated financial statements exclude financial results of discontinued operations.</w:t>
      </w:r>
    </w:p>
    <w:p>
      <w:pPr>
        <w:spacing w:after="0" w:line="381"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 xml:space="preserve">Derivatives and Hedging (Topic 815), Targeted Improvements to Accounting for Hedging: </w:t>
      </w:r>
      <w:r>
        <w:rPr>
          <w:rFonts w:ascii="Arial" w:cs="Arial" w:eastAsia="Arial" w:hAnsi="Arial"/>
          <w:sz w:val="17"/>
          <w:szCs w:val="17"/>
          <w:color w:val="auto"/>
        </w:rPr>
        <w:t>In August 2017, the Financial Accounting Standards Board</w:t>
      </w:r>
      <w:r>
        <w:rPr>
          <w:rFonts w:ascii="Arial" w:cs="Arial" w:eastAsia="Arial" w:hAnsi="Arial"/>
          <w:sz w:val="17"/>
          <w:szCs w:val="17"/>
          <w:i w:val="1"/>
          <w:iCs w:val="1"/>
          <w:color w:val="auto"/>
        </w:rPr>
        <w:t xml:space="preserve"> </w:t>
      </w:r>
      <w:r>
        <w:rPr>
          <w:rFonts w:ascii="Arial" w:cs="Arial" w:eastAsia="Arial" w:hAnsi="Arial"/>
          <w:sz w:val="17"/>
          <w:szCs w:val="17"/>
          <w:color w:val="auto"/>
        </w:rPr>
        <w:t>(“FASB”) issued ASU 2017-12, which requires expanded hedge accounting for both non-financial and financial risk components and refines the measurement of hedge results to better reflect an entity’s hedging strategies. The updated standard also amends presentation and disclosure requirements and changes how entities assess hedge effectiveness. The Company adopted ASU 2017-12 utilizing the modified retrospective transition method beginning April 1, 2020. Adoption had no material impact on the Company’s consolidated financial statements.</w:t>
      </w:r>
    </w:p>
    <w:p>
      <w:pPr>
        <w:spacing w:after="0" w:line="176"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8"/>
          <w:szCs w:val="18"/>
          <w:color w:val="auto"/>
        </w:rPr>
        <w:t>In August 2018, FASB issued ASU 2018-15, which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ASU beginning April 1, 2020. Adoption had no material impact on the Company’s consolidated financial statements.</w:t>
      </w:r>
    </w:p>
    <w:p>
      <w:pPr>
        <w:spacing w:after="0" w:line="19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i w:val="1"/>
          <w:iCs w:val="1"/>
          <w:color w:val="auto"/>
        </w:rPr>
        <w:t xml:space="preserve">Reference Rate Reform (Topic 848), Facilitation of the Effects of Reference Rate Reform on Financial Reporting: </w:t>
      </w:r>
      <w:r>
        <w:rPr>
          <w:rFonts w:ascii="Arial" w:cs="Arial" w:eastAsia="Arial" w:hAnsi="Arial"/>
          <w:sz w:val="18"/>
          <w:szCs w:val="18"/>
          <w:color w:val="auto"/>
        </w:rPr>
        <w:t>In March 2020,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2020-04, which provides temporary optional expedients and exceptions to GAAP guidance on contract modifications to ease the financial reporting burdens related to the expected market transition from the London Interbank Offered Rate to alternative reference rates. Subsequently, in January 2021, FASB issued ASU 2021-01, Reference Rate Reform (Topic 848): Scope, which refines the scope of Topic 848 and clarifies some of its guidance. The Company adopted this ASU beginning April 1, 2020 and may be applied through March 31, 2022. Adoption had no material impact on the Company’s consolidated financial statements.</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auto"/>
        </w:rPr>
        <w:t xml:space="preserve">Debt—Debt with Conversion and Other Options (Subtopic 470-20) and Derivatives and Hedging— Contracts in Entity’s Own Equity (Subtopic 815-40), Accounting for Convertible Instruments and Contracts in an Entity’s Own Equity: </w:t>
      </w:r>
      <w:r>
        <w:rPr>
          <w:rFonts w:ascii="Arial" w:cs="Arial" w:eastAsia="Arial" w:hAnsi="Arial"/>
          <w:sz w:val="17"/>
          <w:szCs w:val="17"/>
          <w:color w:val="auto"/>
        </w:rPr>
        <w:t>In August 2020, FASB issued ASU 2020-06, which reduces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accounting models for convertible debt instruments and convertible preferred stock. For convertible instruments with conversion features that are not required to be accounted for as derivatives under Topic 815 or that do not result in substantial premiums accounted for as paid-in capital, the embedded conversion features no longer are separated from the host contract. ASU 2020-06 also removes certain conditions that should be considered in the derivatives scope exception evaluation under Subtopic 815-40, Derivatives and Hedging—Contracts in Entity’s Own Equity, and clarify the scope and certain requirements under Subtopic 815-40. In addition, ASU 2020-06 improves the guidance related to the disclosures and earnings per share for convertible instruments and contracts in entity’s</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own equity. The Company adopted this ASU beginning April 1, 2020. Adoption had no material impact on the Company’s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i w:val="1"/>
          <w:iCs w:val="1"/>
          <w:color w:val="auto"/>
        </w:rPr>
        <w:t xml:space="preserve">Business Combinations (Topic 805), Accounting for Contract Assets and Contract Liabilities from Contracts with Customers: </w:t>
      </w:r>
      <w:r>
        <w:rPr>
          <w:rFonts w:ascii="Arial" w:cs="Arial" w:eastAsia="Arial" w:hAnsi="Arial"/>
          <w:sz w:val="17"/>
          <w:szCs w:val="17"/>
          <w:color w:val="auto"/>
        </w:rPr>
        <w:t>In October 2021,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ASU 2021-08, which improves the accounting for contract assets and contract liabilities from revenue contracts with customers in a business combination (Topic 805). The ASU improves comparability for both the recognition and measurement of acquired revenue contracts with customers at the date of and after a business combination. This ASU is effective for the Company beginning April 1, 2022. The Company does not expect this pronouncement to have a material impact on the Company’s consolidated financial statements.</w:t>
      </w:r>
    </w:p>
    <w:p>
      <w:pPr>
        <w:spacing w:after="0" w:line="176"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i w:val="1"/>
          <w:iCs w:val="1"/>
          <w:color w:val="auto"/>
        </w:rPr>
        <w:t>Government Assistance (Topic 832), Disclosures by Business Entities about Government Assistance</w:t>
      </w:r>
      <w:r>
        <w:rPr>
          <w:rFonts w:ascii="Arial" w:cs="Arial" w:eastAsia="Arial" w:hAnsi="Arial"/>
          <w:sz w:val="16"/>
          <w:szCs w:val="16"/>
          <w:color w:val="auto"/>
        </w:rPr>
        <w:t>: In November 2021, FASB issued ASU 2021-10,</w:t>
      </w:r>
      <w:r>
        <w:rPr>
          <w:rFonts w:ascii="Arial" w:cs="Arial" w:eastAsia="Arial" w:hAnsi="Arial"/>
          <w:sz w:val="16"/>
          <w:szCs w:val="16"/>
          <w:i w:val="1"/>
          <w:iCs w:val="1"/>
          <w:color w:val="auto"/>
        </w:rPr>
        <w:t xml:space="preserve"> </w:t>
      </w:r>
      <w:r>
        <w:rPr>
          <w:rFonts w:ascii="Arial" w:cs="Arial" w:eastAsia="Arial" w:hAnsi="Arial"/>
          <w:sz w:val="16"/>
          <w:szCs w:val="16"/>
          <w:color w:val="auto"/>
        </w:rPr>
        <w:t>which created ASC 832. ASC 832 requires certain disclosures about transactions with a government that are accounted for by analogizing to a grant or contribution accounting model. The amendments will require disclosure of information about the nature of the transactions and the related accounting policy used to account for the transactions, information regarding the line items within the consolidated financial statements that are affected by the transactions, and significant terms and conditions of the transactions. This ASU is effective for the Company beginning April 1, 2022. The Company is currently evaluating the effect of this pronouncement on the consolidated financial statements.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608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3"/>
          </w:tcPr>
          <w:p>
            <w:pPr>
              <w:spacing w:after="0"/>
              <w:rPr>
                <w:sz w:val="20"/>
                <w:szCs w:val="20"/>
                <w:color w:val="auto"/>
              </w:rPr>
            </w:pPr>
            <w:r>
              <w:rPr>
                <w:rFonts w:ascii="Arial" w:cs="Arial" w:eastAsia="Arial" w:hAnsi="Arial"/>
                <w:sz w:val="18"/>
                <w:szCs w:val="18"/>
                <w:color w:val="auto"/>
              </w:rPr>
              <w:t>A summary of the Company’s disaggregated revenues are as follows: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ind w:right="640"/>
              <w:spacing w:after="0"/>
              <w:rPr>
                <w:sz w:val="20"/>
                <w:szCs w:val="20"/>
                <w:color w:val="auto"/>
              </w:rPr>
            </w:pPr>
            <w:r>
              <w:rPr>
                <w:rFonts w:ascii="Arial" w:cs="Arial" w:eastAsia="Arial" w:hAnsi="Arial"/>
                <w:sz w:val="14"/>
                <w:szCs w:val="14"/>
                <w:b w:val="1"/>
                <w:bCs w:val="1"/>
                <w:color w:val="auto"/>
              </w:rPr>
              <w:t>Fiscal Years Ended March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6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w w:val="93"/>
              </w:rPr>
              <w:t>External Customers</w:t>
            </w:r>
          </w:p>
        </w:tc>
        <w:tc>
          <w:tcPr>
            <w:tcW w:w="1280" w:type="dxa"/>
            <w:vAlign w:val="bottom"/>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rPr>
              <w:t>Related Parties</w:t>
            </w:r>
          </w:p>
        </w:tc>
        <w:tc>
          <w:tcPr>
            <w:tcW w:w="140" w:type="dxa"/>
            <w:vAlign w:val="bottom"/>
          </w:tcPr>
          <w:p>
            <w:pPr>
              <w:spacing w:after="0"/>
              <w:rPr>
                <w:sz w:val="12"/>
                <w:szCs w:val="12"/>
                <w:color w:val="auto"/>
              </w:rPr>
            </w:pPr>
          </w:p>
        </w:tc>
        <w:tc>
          <w:tcPr>
            <w:tcW w:w="960" w:type="dxa"/>
            <w:vAlign w:val="bottom"/>
            <w:gridSpan w:val="4"/>
          </w:tcPr>
          <w:p>
            <w:pPr>
              <w:jc w:val="right"/>
              <w:ind w:right="27"/>
              <w:spacing w:after="0" w:line="142" w:lineRule="exact"/>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gridSpan w:val="2"/>
            <w:vMerge w:val="continue"/>
          </w:tcPr>
          <w:p>
            <w:pPr>
              <w:spacing w:after="0"/>
              <w:rPr>
                <w:sz w:val="12"/>
                <w:szCs w:val="12"/>
                <w:color w:val="auto"/>
              </w:rPr>
            </w:pPr>
          </w:p>
        </w:tc>
        <w:tc>
          <w:tcPr>
            <w:tcW w:w="56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6"/>
                <w:szCs w:val="16"/>
                <w:color w:val="auto"/>
              </w:rPr>
              <w:t>License and Other Revenue</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902</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$ 239</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$ 1,141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spacing w:after="0"/>
              <w:rPr>
                <w:sz w:val="20"/>
                <w:szCs w:val="20"/>
                <w:color w:val="auto"/>
              </w:rPr>
            </w:pPr>
            <w:r>
              <w:rPr>
                <w:rFonts w:ascii="Arial" w:cs="Arial" w:eastAsia="Arial" w:hAnsi="Arial"/>
                <w:sz w:val="18"/>
                <w:szCs w:val="18"/>
                <w:color w:val="auto"/>
              </w:rPr>
              <w:t>Royalty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1,005</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308</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1,562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1,313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$ 484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$ 2,703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2,027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20" w:hanging="424"/>
        <w:spacing w:after="0" w:line="277"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over-time revenues of $286 million and $247 million and point-in-time revenues of $855 million and $467 million for the fiscal years ended March 31, 2022 and 2021,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components of accounts receivable, net is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9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58"/>
        </w:trPr>
        <w:tc>
          <w:tcPr>
            <w:tcW w:w="3440" w:type="dxa"/>
            <w:vAlign w:val="bottom"/>
            <w:gridSpan w:val="3"/>
            <w:vMerge w:val="continue"/>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294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Royalty receivables</w:t>
            </w:r>
          </w:p>
        </w:tc>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receivables</w:t>
            </w: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w w:val="96"/>
              </w:rPr>
              <w:t>Allowance for current expected credit losses</w:t>
            </w: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accounts receivables, net</w:t>
            </w:r>
          </w:p>
        </w:tc>
        <w:tc>
          <w:tcPr>
            <w:tcW w:w="29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160" w:type="dxa"/>
            <w:vAlign w:val="bottom"/>
            <w:gridSpan w:val="2"/>
          </w:tcPr>
          <w:p>
            <w:pPr>
              <w:ind w:left="240"/>
              <w:spacing w:after="0"/>
              <w:rPr>
                <w:sz w:val="20"/>
                <w:szCs w:val="20"/>
                <w:color w:val="auto"/>
              </w:rPr>
            </w:pPr>
            <w:r>
              <w:rPr>
                <w:rFonts w:ascii="Arial" w:cs="Arial" w:eastAsia="Arial" w:hAnsi="Arial"/>
                <w:sz w:val="18"/>
                <w:szCs w:val="18"/>
                <w:color w:val="auto"/>
              </w:rPr>
              <w:t>F-28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change in the allowance for current expected credit losses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4"/>
                <w:szCs w:val="14"/>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April 1, 2020</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Additional provision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written off during the year as uncollectible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Amounts reclassified to assets related to discontinued operations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April 1, 2021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Additional provision</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timing of revenue recognition may differ from the timing of invoicing to customers. Contract assets are created when invoicing occurs subsequent to revenue recognition. Contract assets are transferred to accounts receivable when the right to invoice becomes unconditional. During the fiscal year ended March 31, 2022, contract assets increased by $490 million due to the timing of billings to customers, which fell into subsequent periods, offset by $331 million of contract assets transferred to accounts receivable. The balance and activity for loss allowances related to contract assets was immaterial for all periods presented.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movement in contract liabilities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8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April 1, 2021</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$1,178</w:t>
            </w: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Customer prepayment and billing in advance of performance</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02"/>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 at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 beginning of the period</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02"/>
        </w:trPr>
        <w:tc>
          <w:tcPr>
            <w:tcW w:w="20" w:type="dxa"/>
            <w:vAlign w:val="bottom"/>
          </w:tcPr>
          <w:p>
            <w:pPr>
              <w:spacing w:after="0"/>
              <w:rPr>
                <w:sz w:val="17"/>
                <w:szCs w:val="17"/>
                <w:color w:val="auto"/>
              </w:rPr>
            </w:pPr>
          </w:p>
        </w:tc>
        <w:tc>
          <w:tcPr>
            <w:tcW w:w="6860" w:type="dxa"/>
            <w:vAlign w:val="bottom"/>
            <w:gridSpan w:val="2"/>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during the period</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2022</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1,126</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color w:val="auto"/>
              </w:rPr>
              <w:t>Current portion of contract liabilities</w:t>
            </w:r>
          </w:p>
        </w:tc>
        <w:tc>
          <w:tcPr>
            <w:tcW w:w="5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contract liabilities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Satisfied Performance Obligations</w:t>
      </w:r>
    </w:p>
    <w:p>
      <w:pPr>
        <w:spacing w:after="0" w:line="117"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Revenue recognized from previously satisfied performance obligations in prior reporting periods was $1,313 million and $1,562 million for the fiscal years ended March 31, 2022 and 2021, respectively. These amounts primarily represent royalties earned during the period.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spacing w:after="0" w:line="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9" w:right="49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has elected to exclude potential future royalty receipts from the disclosure of remaining performance obligations. In certain arrangements, the Company’s right to consideration may not correspond directly with the performance of obligations. The timing of revenue recognition will depend on a number of factors, including when customers choose to receive products and services. Accordingly, the analysis between time bands below has been estimated, but the final timing may differ from these estimates. In the absence of sufficient information, where the timing of satisfaction of the remaining performance obligations is dependent on a customer’s action, the transaction price allocated to such performance obligation is included in the outer-year time band unless contract or option expiration aligns with an earlier period or category.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2022, the aggregate transaction price allocated to remaining performance obligations was $1,743.5 million, which includes</w:t>
      </w:r>
    </w:p>
    <w:p>
      <w:pPr>
        <w:spacing w:after="0" w:line="35"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$758.0 million of non-cancellable and non-refundable committed funds received from certain customers, where the parties are in negotiations regarding the enforceable rights and obligations of the arrangement.</w:t>
      </w:r>
    </w:p>
    <w:p>
      <w:pPr>
        <w:spacing w:after="0" w:line="18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expects to recognize approximately 19% of remaining performance obligations as revenue over the next 12 months, 12% over the subsequent 13-to 24-month period, and the remainder thereafter.</w:t>
      </w:r>
    </w:p>
    <w:p>
      <w:pPr>
        <w:spacing w:after="0" w:line="315"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Company decided to distribute and sell Treasure Data and IoTP, respectively, to the immediate shareholders of the Company (disposal other than by sale). The distribution and sale of Treasure Data and IoTP, respectively represented a strategic shift that has or will have a major effect on the Company’s operations and financial results. In the course of the Company’s evaluation, it considered examples provided in ASC 205-20 of what may constitute a strategic shift that will have a major effect on operations and financial results. The following metrics were analyzed among others: total revenues of Treasure Data and IoTP when compared to those of the Company, total assets, losses and profits before and after taxes, respectively. As a result of this analysis, the Company determined the distribution and sale of the businesses qualified for classification as discontinued operations. Because Treasure Data and IoTP were distributed and sold to the immediate shareholders of the Company, the results of operations were not recorded as discontinued operations until the period in which the businesses were actually disposed of other than by sale.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Treasure Data</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June 2021, the Company completed a pro rata distribution of its controlling stake in Treasure Data to the immediate shareholders of the Company. The distribution was recorded as a reduction to retained earnings at the carrying amount of Treasure Data’s net assets of $44.2 million and did not result in the recognition of gain or losses.</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Upon the distribution, the Company and Treasure Data entered into a transition services agreement pursuant to which the Company provided enabling functions support services to the owners of Treasure Data on an interim transitional basis for up to three months after disposition. The revenue and cash flows associated with this transition services agreement were not significant to the operations of the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IoTP</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November 2021, the Company sold 100% of its ownership in IoTP. The IoTP business was sold to the Company’s immediate shareholders for $12.0 million in cash consideration. Consideration with respect to the sale was unpaid as of March 31, 2022 and recorded as a other receivable in prepaid expenses and other current assets on the Consolidated Balance Sheet. Upon the sale, the carrying value of the net assets of IoTP equaled total consideration and no gain or loss was recognized.</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Summarized Financial Information</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Operating results of Treasure Data and IoTP are reflected in discontinued operations in the consolidated financial statements for all periods presented through the dates of distribution and sale,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major components of revenues and expenses from discontinued operations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9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96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 from external customers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related costs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w:t>
            </w:r>
          </w:p>
        </w:tc>
        <w:tc>
          <w:tcPr>
            <w:tcW w:w="6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Prior to the sale of IoTP, in November 2021, an impairment loss of $23.5 million was recognized on long-lived intangible and property and equipment assets of IoTP. The impairment was primarily a result of lower than anticipated operating results and a deterioration in projected results. For purposes of determining the impairment, the Company relied on the income approach utilizing discounted cash flows to arrive at fair value.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significant non-cash items and capital expenditures from discontinued operations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500" w:type="dxa"/>
            <w:vAlign w:val="bottom"/>
            <w:vMerge w:val="restart"/>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Fiscal Years Ended March 31,</w:t>
            </w: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350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2022</w:t>
            </w:r>
          </w:p>
        </w:tc>
        <w:tc>
          <w:tcPr>
            <w:tcW w:w="1180" w:type="dxa"/>
            <w:vAlign w:val="bottom"/>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Amortization and depreciation expense</w:t>
            </w:r>
          </w:p>
        </w:tc>
        <w:tc>
          <w:tcPr>
            <w:tcW w:w="1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1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Other non-cash items</w:t>
            </w:r>
          </w:p>
        </w:tc>
        <w:tc>
          <w:tcPr>
            <w:tcW w:w="15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180"/>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Other non-cash items include operating lease expense, stock-based compensation expense and purchase of property and equipment for the fiscal years ended presented.</w:t>
      </w:r>
    </w:p>
    <w:p>
      <w:pPr>
        <w:spacing w:after="0" w:line="315"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As of March 31, 2022 and 2021, the Company had a goodwill balance of $1,636 million and $1,651 million, respectively. The period-over-period change in goodwill for the fiscal year ended March 31, 2022 was due to foreign currency translation adjustments. The Company did not record any goodwill impairment for the fiscal years ended March 31, 2022, and 2021.</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related to intangible assets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w w:val="95"/>
              </w:rPr>
              <w:t>As of March 31, 2022</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w:t>
            </w:r>
          </w:p>
        </w:tc>
        <w:tc>
          <w:tcPr>
            <w:tcW w:w="9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Carrying</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20" w:type="dxa"/>
            <w:vAlign w:val="bottom"/>
            <w:gridSpan w:val="3"/>
            <w:vMerge w:val="continue"/>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58"/>
        </w:trPr>
        <w:tc>
          <w:tcPr>
            <w:tcW w:w="440" w:type="dxa"/>
            <w:vAlign w:val="bottom"/>
            <w:vMerge w:val="continue"/>
          </w:tcPr>
          <w:p>
            <w:pPr>
              <w:spacing w:after="0"/>
              <w:rPr>
                <w:sz w:val="13"/>
                <w:szCs w:val="13"/>
                <w:color w:val="auto"/>
              </w:rPr>
            </w:pPr>
          </w:p>
        </w:tc>
        <w:tc>
          <w:tcPr>
            <w:tcW w:w="41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Amount</w:t>
            </w:r>
          </w:p>
        </w:tc>
        <w:tc>
          <w:tcPr>
            <w:tcW w:w="90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ind w:right="720"/>
              <w:spacing w:after="0" w:line="158" w:lineRule="exact"/>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90"/>
              </w:rPr>
              <w:t>Life (in years)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14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Patents &amp; licenses</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8"/>
                <w:szCs w:val="18"/>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9</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Computer software</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9"/>
                <w:szCs w:val="19"/>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594</w:t>
            </w:r>
          </w:p>
        </w:tc>
        <w:tc>
          <w:tcPr>
            <w:tcW w:w="3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Intangible assets under development</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8"/>
          </w:tcPr>
          <w:p>
            <w:pPr>
              <w:spacing w:after="0"/>
              <w:rPr>
                <w:sz w:val="20"/>
                <w:szCs w:val="20"/>
                <w:color w:val="auto"/>
              </w:rPr>
            </w:pPr>
            <w:r>
              <w:rPr>
                <w:rFonts w:ascii="Arial" w:cs="Arial" w:eastAsia="Arial" w:hAnsi="Arial"/>
                <w:sz w:val="18"/>
                <w:szCs w:val="18"/>
                <w:color w:val="auto"/>
              </w:rPr>
              <w:t>Information regarding amortization expense for intangible assets is as follows: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5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97"/>
              </w:rPr>
              <w:t>Fiscal Years Ended March 31,</w:t>
            </w:r>
          </w:p>
        </w:tc>
        <w:tc>
          <w:tcPr>
            <w:tcW w:w="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40" w:type="dxa"/>
            <w:vAlign w:val="bottom"/>
            <w:gridSpan w:val="3"/>
          </w:tcPr>
          <w:p>
            <w:pPr>
              <w:jc w:val="right"/>
              <w:ind w:right="94"/>
              <w:spacing w:after="0" w:line="129"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 amortization expense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101</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 capitalized $11.0 million and $40.6 million and amortized $26.5 million and $22.2 million in development costs associated with internal use software in the fiscal years ended March 31, 2022 and 2021, respectively. Impairment of intangible assets for the fiscal years ended March 31, 2022 and 2021 was $5.0 million and zero, respectively. Capitalized costs related to internal use software, net of accumulated amortization was $34.5 million as of March 31, 2022.</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future amortization of intangible assets subject to amortization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6"/>
              </w:rPr>
              <w:t>As of March 31, 2022</w:t>
            </w:r>
          </w:p>
        </w:tc>
      </w:tr>
      <w:tr>
        <w:trPr>
          <w:trHeight w:val="203"/>
        </w:trPr>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2023</w:t>
            </w:r>
          </w:p>
        </w:tc>
        <w:tc>
          <w:tcPr>
            <w:tcW w:w="232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2024</w:t>
            </w:r>
          </w:p>
        </w:tc>
        <w:tc>
          <w:tcPr>
            <w:tcW w:w="2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2026</w:t>
            </w:r>
          </w:p>
        </w:tc>
        <w:tc>
          <w:tcPr>
            <w:tcW w:w="2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color w:val="auto"/>
              </w:rPr>
              <w:t>Total future amortization expense</w:t>
            </w:r>
          </w:p>
        </w:tc>
        <w:tc>
          <w:tcPr>
            <w:tcW w:w="30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gridSpan w:val="2"/>
          </w:tcPr>
          <w:p>
            <w:pPr>
              <w:ind w:left="620"/>
              <w:spacing w:after="0"/>
              <w:rPr>
                <w:sz w:val="20"/>
                <w:szCs w:val="20"/>
                <w:color w:val="auto"/>
              </w:rPr>
            </w:pPr>
            <w:r>
              <w:rPr>
                <w:rFonts w:ascii="Arial" w:cs="Arial" w:eastAsia="Arial" w:hAnsi="Arial"/>
                <w:sz w:val="18"/>
                <w:szCs w:val="18"/>
                <w:color w:val="auto"/>
              </w:rPr>
              <w:t>F-32</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regarding property and equipment, net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2022</w:t>
            </w:r>
          </w:p>
        </w:tc>
      </w:tr>
      <w:tr>
        <w:trPr>
          <w:trHeight w:val="203"/>
        </w:trPr>
        <w:tc>
          <w:tcPr>
            <w:tcW w:w="20" w:type="dxa"/>
            <w:vAlign w:val="bottom"/>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5"/>
              </w:rPr>
              <w:t>Buildings</w:t>
            </w:r>
          </w:p>
        </w:tc>
        <w:tc>
          <w:tcPr>
            <w:tcW w:w="5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Fixtures and motor vehicles</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 gross</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5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Depreciation expense for the fiscal years ended March 31, 2022 and 2021 was $82.5 million and $78.8 million, respectively. Impairment of property and equipment for the fiscal years ended March 31, 2022 and 2021 was $13.6 million and $2.5 million, respectively.</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of March 31, 2022, the Company had ARO liabilities of $11.5 million related to leasehold improvements, recorded in other current and other non-current liabilities on the Consolidated Balance Sheet. In the fiscal year ended March 31, 2022, ARO liabilities decreased by $1.9 million, which consisted of $1.0 million and $0.9 million related to settlement and revision of certain obligation estimates and foreign currency translation adjustments, respectively, partially offset by accretion of $0.2 million. As of March 31, 2022, the Company had $5.9 million of retirement assets recorded in property and equipment, net on the Consolidated Balance Sheet.</w:t>
      </w:r>
    </w:p>
    <w:p>
      <w:pPr>
        <w:spacing w:after="0" w:line="332"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current liabilities are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w w:val="96"/>
              </w:rPr>
              <w:t>As of March 31, 2022</w:t>
            </w: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Vendor accruals</w:t>
            </w:r>
          </w:p>
        </w:tc>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Payables to related parties</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Restructuring liabilities</w:t>
            </w:r>
          </w:p>
        </w:tc>
        <w:tc>
          <w:tcPr>
            <w:tcW w:w="5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other current liabilities</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Company’s lease obligations primarily consist of operating leases for property, IT and automobiles with lease terms expiring between calendar years 2022 and 2044. The Company’s lease agreements do not contain residual value guarantees, material variable payment provisions or material restrictive covenants. The Company did not have material finance or short-term leases and did not incur any material variable lease expenses for all periods presented. For the fiscal years ended March 31, 2022 and 2021, operating lease expense was $40.0 million and $40.7 million, respectively.</w:t>
      </w:r>
    </w:p>
    <w:p>
      <w:pPr>
        <w:spacing w:after="0" w:line="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disclosures of cash flow information related to operating leases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61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6180" w:type="dxa"/>
            <w:vAlign w:val="bottom"/>
            <w:vMerge w:val="continue"/>
          </w:tcPr>
          <w:p>
            <w:pPr>
              <w:spacing w:after="0"/>
              <w:rPr>
                <w:sz w:val="12"/>
                <w:szCs w:val="12"/>
                <w:color w:val="auto"/>
              </w:rPr>
            </w:pPr>
          </w:p>
        </w:tc>
        <w:tc>
          <w:tcPr>
            <w:tcW w:w="3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2022</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flows used for operating leases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(42)</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weighted average remaining lease term and discount rate for operating leases are as follows:</w:t>
      </w:r>
    </w:p>
    <w:p>
      <w:pPr>
        <w:spacing w:after="0" w:line="24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6350</wp:posOffset>
            </wp:positionV>
            <wp:extent cx="9086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jc w:val="both"/>
        <w:ind w:left="8260"/>
        <w:spacing w:after="0"/>
        <w:tabs>
          <w:tab w:leader="none" w:pos="92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p>
    <w:tbl>
      <w:tblPr>
        <w:tblLayout w:type="fixed"/>
        <w:tblInd w:w="1440" w:type="dxa"/>
        <w:tblCellMar>
          <w:top w:w="0" w:type="dxa"/>
          <w:left w:w="0" w:type="dxa"/>
          <w:bottom w:w="0" w:type="dxa"/>
          <w:right w:w="0" w:type="dxa"/>
        </w:tblCellMar>
      </w:tblPr>
      <w:tr>
        <w:trPr>
          <w:trHeight w:val="20"/>
        </w:trPr>
        <w:tc>
          <w:tcPr>
            <w:tcW w:w="6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2.42%</w:t>
            </w:r>
          </w:p>
        </w:tc>
        <w:tc>
          <w:tcPr>
            <w:tcW w:w="6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15.20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14.57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Maturity of total operating lease liabilities as of March 31, 2022 is as follows (in millions):</w:t>
      </w:r>
    </w:p>
    <w:p>
      <w:pPr>
        <w:sectPr>
          <w:pgSz w:w="11900" w:h="16838" w:orient="portrait"/>
          <w:cols w:equalWidth="0" w:num="1">
            <w:col w:w="10139"/>
          </w:cols>
          <w:pgMar w:left="320" w:top="459" w:right="1440" w:bottom="1440" w:gutter="0" w:footer="0" w:header="0"/>
        </w:sectPr>
      </w:pP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6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2023</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2025</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2027</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Thereafter</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Total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Less imputed interest</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Less: current portion of operating lease liabilities</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Non-current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March 31, 2022, the Company had no material leases signed but not yet commenced.</w:t>
      </w:r>
    </w:p>
    <w:p>
      <w:pPr>
        <w:spacing w:after="0" w:line="393"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components of equity investments is as follows:</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6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Equity method investments under fair value option</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Equity method investments under equity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Non-marketable equity securities</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Total equity investments</w:t>
      </w:r>
    </w:p>
    <w:p>
      <w:pPr>
        <w:spacing w:after="0" w:line="2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Total</w:t>
      </w:r>
    </w:p>
    <w:p>
      <w:pPr>
        <w:spacing w:after="0" w:line="25"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$ 37</w:t>
      </w:r>
    </w:p>
    <w:p>
      <w:pPr>
        <w:spacing w:after="0" w:line="8"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29</w:t>
      </w:r>
    </w:p>
    <w:p>
      <w:pPr>
        <w:spacing w:after="0" w:line="9"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27</w:t>
      </w:r>
    </w:p>
    <w:p>
      <w:pPr>
        <w:spacing w:after="0" w:line="9"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24</w:t>
      </w:r>
    </w:p>
    <w:p>
      <w:pPr>
        <w:spacing w:after="0" w:line="9"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5715</wp:posOffset>
            </wp:positionV>
            <wp:extent cx="2311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$312</w:t>
      </w:r>
    </w:p>
    <w:p>
      <w:pPr>
        <w:spacing w:after="0" w:line="23"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5715</wp:posOffset>
            </wp:positionV>
            <wp:extent cx="23114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$261</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$ 31</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2311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As of March 31, 2022</w:t>
      </w:r>
    </w:p>
    <w:p>
      <w:pPr>
        <w:spacing w:after="0" w:line="37" w:lineRule="exact"/>
        <w:rPr>
          <w:sz w:val="20"/>
          <w:szCs w:val="20"/>
          <w:color w:val="auto"/>
        </w:rPr>
      </w:pPr>
    </w:p>
    <w:p>
      <w:pPr>
        <w:ind w:left="1040" w:hanging="1040"/>
        <w:spacing w:after="0"/>
        <w:tabs>
          <w:tab w:leader="none" w:pos="10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631</w:t>
      </w:r>
    </w:p>
    <w:p>
      <w:pPr>
        <w:spacing w:after="0" w:line="30"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7"/>
          <w:szCs w:val="17"/>
          <w:color w:val="auto"/>
        </w:rPr>
        <w:t>8</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83185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3" w:lineRule="exact"/>
        <w:rPr>
          <w:sz w:val="20"/>
          <w:szCs w:val="20"/>
          <w:color w:val="auto"/>
        </w:rPr>
      </w:pPr>
    </w:p>
    <w:p>
      <w:pPr>
        <w:ind w:left="1040" w:hanging="1040"/>
        <w:spacing w:after="0"/>
        <w:tabs>
          <w:tab w:leader="none" w:pos="10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736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318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318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ectPr>
          <w:pgSz w:w="11900" w:h="16838" w:orient="portrait"/>
          <w:cols w:equalWidth="0" w:num="2">
            <w:col w:w="7280" w:space="720"/>
            <w:col w:w="2139"/>
          </w:cols>
          <w:pgMar w:left="320" w:top="459" w:right="1440" w:bottom="1440" w:gutter="0" w:footer="0" w:header="0"/>
          <w:type w:val="continuous"/>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from equity investments, net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900" w:type="dxa"/>
            <w:vAlign w:val="bottom"/>
            <w:vMerge w:val="restart"/>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390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2022</w:t>
            </w:r>
          </w:p>
        </w:tc>
        <w:tc>
          <w:tcPr>
            <w:tcW w:w="10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3"/>
                <w:szCs w:val="23"/>
                <w:color w:val="auto"/>
                <w:vertAlign w:val="superscript"/>
              </w:rPr>
              <w:t>(1)</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w:t>
            </w: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Non-marketable equity securities (includes NAV)</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income from equity investments, net</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07" w:lineRule="auto"/>
        <w:tabs>
          <w:tab w:leader="none" w:pos="540" w:val="left"/>
        </w:tabs>
        <w:numPr>
          <w:ilvl w:val="0"/>
          <w:numId w:val="142"/>
        </w:numPr>
        <w:rPr>
          <w:rFonts w:ascii="Arial" w:cs="Arial" w:eastAsia="Arial" w:hAnsi="Arial"/>
          <w:sz w:val="27"/>
          <w:szCs w:val="27"/>
          <w:color w:val="auto"/>
          <w:vertAlign w:val="superscript"/>
        </w:rPr>
      </w:pPr>
      <w:r>
        <w:rPr>
          <w:rFonts w:ascii="Arial" w:cs="Arial" w:eastAsia="Arial" w:hAnsi="Arial"/>
          <w:sz w:val="18"/>
          <w:szCs w:val="18"/>
          <w:color w:val="auto"/>
        </w:rPr>
        <w:t>Includes equity method investments where the Company elected the fair value option, including those under the NAV practical expedient, along with investments accounted for under the equity method.</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Details of the Company’s equity method investments as of March 31, 2022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80" w:type="dxa"/>
            <w:vAlign w:val="bottom"/>
            <w:gridSpan w:val="4"/>
          </w:tcPr>
          <w:p>
            <w:pPr>
              <w:spacing w:after="0"/>
              <w:rPr>
                <w:sz w:val="20"/>
                <w:szCs w:val="20"/>
                <w:color w:val="auto"/>
              </w:rPr>
            </w:pPr>
            <w:r>
              <w:rPr>
                <w:rFonts w:ascii="Arial" w:cs="Arial" w:eastAsia="Arial" w:hAnsi="Arial"/>
                <w:sz w:val="14"/>
                <w:szCs w:val="14"/>
                <w:i w:val="1"/>
                <w:iCs w:val="1"/>
                <w:color w:val="auto"/>
              </w:rPr>
              <w:t>Investments under equity method of accounting:</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gridSpan w:val="8"/>
            <w:vMerge w:val="restart"/>
          </w:tcPr>
          <w:p>
            <w:pPr>
              <w:jc w:val="right"/>
              <w:ind w:right="640"/>
              <w:spacing w:after="0"/>
              <w:rPr>
                <w:sz w:val="20"/>
                <w:szCs w:val="20"/>
                <w:color w:val="auto"/>
              </w:rPr>
            </w:pPr>
            <w:r>
              <w:rPr>
                <w:rFonts w:ascii="Arial" w:cs="Arial" w:eastAsia="Arial" w:hAnsi="Arial"/>
                <w:sz w:val="14"/>
                <w:szCs w:val="14"/>
                <w:b w:val="1"/>
                <w:bCs w:val="1"/>
                <w:color w:val="auto"/>
              </w:rPr>
              <w:t>Ownership Interest %</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Name</w:t>
            </w:r>
          </w:p>
        </w:tc>
        <w:tc>
          <w:tcPr>
            <w:tcW w:w="2400" w:type="dxa"/>
            <w:vAlign w:val="bottom"/>
            <w:tcBorders>
              <w:top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Arm IOT Fund LP (Taiwan)</w:t>
            </w: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80" w:type="dxa"/>
            <w:vAlign w:val="bottom"/>
            <w:gridSpan w:val="4"/>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25.8%</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Accelerator Advisory Limited</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27.9%</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HOPU-ARM Holding Company Limited</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DeepTech Labs Fund 1 LP</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42.9%</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20" w:type="dxa"/>
            <w:vAlign w:val="bottom"/>
            <w:gridSpan w:val="6"/>
          </w:tcPr>
          <w:p>
            <w:pPr>
              <w:spacing w:after="0"/>
              <w:rPr>
                <w:sz w:val="20"/>
                <w:szCs w:val="20"/>
                <w:color w:val="auto"/>
              </w:rPr>
            </w:pPr>
            <w:r>
              <w:rPr>
                <w:rFonts w:ascii="Arial" w:cs="Arial" w:eastAsia="Arial" w:hAnsi="Arial"/>
                <w:sz w:val="14"/>
                <w:szCs w:val="14"/>
                <w:i w:val="1"/>
                <w:iCs w:val="1"/>
                <w:color w:val="auto"/>
                <w:w w:val="93"/>
              </w:rPr>
              <w:t>Investments where fair value option elected (including those under the NAV practical</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expedient):</w:t>
            </w: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Borders>
              <w:bottom w:val="single" w:sz="8" w:color="auto"/>
            </w:tcBorders>
            <w:gridSpan w:val="2"/>
          </w:tcPr>
          <w:p>
            <w:pPr>
              <w:spacing w:after="0" w:line="122" w:lineRule="exact"/>
              <w:rPr>
                <w:sz w:val="20"/>
                <w:szCs w:val="20"/>
                <w:color w:val="auto"/>
              </w:rPr>
            </w:pPr>
            <w:r>
              <w:rPr>
                <w:rFonts w:ascii="Arial" w:cs="Arial" w:eastAsia="Arial" w:hAnsi="Arial"/>
                <w:sz w:val="14"/>
                <w:szCs w:val="14"/>
                <w:b w:val="1"/>
                <w:bCs w:val="1"/>
                <w:color w:val="auto"/>
                <w:w w:val="94"/>
              </w:rPr>
              <w:t>Name</w:t>
            </w:r>
          </w:p>
        </w:tc>
        <w:tc>
          <w:tcPr>
            <w:tcW w:w="380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3"/>
          </w:tcPr>
          <w:p>
            <w:pPr>
              <w:jc w:val="right"/>
              <w:spacing w:after="0" w:line="122" w:lineRule="exact"/>
              <w:rPr>
                <w:sz w:val="20"/>
                <w:szCs w:val="20"/>
                <w:color w:val="auto"/>
              </w:rPr>
            </w:pPr>
            <w:r>
              <w:rPr>
                <w:rFonts w:ascii="Arial" w:cs="Arial" w:eastAsia="Arial" w:hAnsi="Arial"/>
                <w:sz w:val="14"/>
                <w:szCs w:val="14"/>
                <w:b w:val="1"/>
                <w:bCs w:val="1"/>
                <w:color w:val="auto"/>
                <w:w w:val="93"/>
              </w:rPr>
              <w:t>Ownership Interest %</w:t>
            </w:r>
          </w:p>
        </w:tc>
        <w:tc>
          <w:tcPr>
            <w:tcW w:w="8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Acetone Limited</w:t>
            </w: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80" w:type="dxa"/>
            <w:vAlign w:val="bottom"/>
            <w:gridSpan w:val="4"/>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Ampere Computing Holdings LLC (“Ampere”)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China Walden Ventures Investments II, L.P. —NAV</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China Walden Ventures Investments III, L.P. —NAV</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HOPU-ARM Innovation Fund, L.P. —NAV</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Catapult Ventures I, L.P. —NAV</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20" w:type="dxa"/>
            <w:vAlign w:val="bottom"/>
            <w:gridSpan w:val="10"/>
          </w:tcPr>
          <w:p>
            <w:pPr>
              <w:spacing w:after="0"/>
              <w:rPr>
                <w:sz w:val="20"/>
                <w:szCs w:val="20"/>
                <w:color w:val="auto"/>
              </w:rPr>
            </w:pPr>
            <w:r>
              <w:rPr>
                <w:rFonts w:ascii="Arial" w:cs="Arial" w:eastAsia="Arial" w:hAnsi="Arial"/>
                <w:sz w:val="18"/>
                <w:szCs w:val="18"/>
                <w:color w:val="auto"/>
                <w:w w:val="94"/>
              </w:rPr>
              <w:t>Investee summarized financial data for the Company’s equity method investments is as follows:</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060" w:type="dxa"/>
            <w:vAlign w:val="bottom"/>
            <w:gridSpan w:val="6"/>
          </w:tcPr>
          <w:p>
            <w:pPr>
              <w:ind w:left="440"/>
              <w:spacing w:after="0"/>
              <w:rPr>
                <w:sz w:val="20"/>
                <w:szCs w:val="20"/>
                <w:color w:val="auto"/>
              </w:rPr>
            </w:pPr>
            <w:r>
              <w:rPr>
                <w:rFonts w:ascii="Arial" w:cs="Arial" w:eastAsia="Arial" w:hAnsi="Arial"/>
                <w:sz w:val="14"/>
                <w:szCs w:val="14"/>
                <w:b w:val="1"/>
                <w:bCs w:val="1"/>
                <w:color w:val="auto"/>
              </w:rPr>
              <w:t>Balance Sheet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March 31, 2022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 w:type="dxa"/>
            <w:vAlign w:val="bottom"/>
            <w:vMerge w:val="restart"/>
          </w:tcPr>
          <w:p>
            <w:pPr>
              <w:spacing w:after="0" w:line="20" w:lineRule="exact"/>
              <w:rPr>
                <w:sz w:val="1"/>
                <w:szCs w:val="1"/>
                <w:color w:val="auto"/>
              </w:rPr>
            </w:pPr>
          </w:p>
        </w:tc>
        <w:tc>
          <w:tcPr>
            <w:tcW w:w="4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4"/>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40" w:type="dxa"/>
            <w:vAlign w:val="bottom"/>
            <w:vMerge w:val="continue"/>
          </w:tcPr>
          <w:p>
            <w:pPr>
              <w:spacing w:after="0"/>
              <w:rPr>
                <w:sz w:val="11"/>
                <w:szCs w:val="11"/>
                <w:color w:val="auto"/>
              </w:rPr>
            </w:pPr>
          </w:p>
        </w:tc>
        <w:tc>
          <w:tcPr>
            <w:tcW w:w="462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Arm China/Acetone </w:t>
            </w:r>
            <w:r>
              <w:rPr>
                <w:rFonts w:ascii="Arial" w:cs="Arial" w:eastAsia="Arial" w:hAnsi="Arial"/>
                <w:sz w:val="10"/>
                <w:szCs w:val="10"/>
                <w:b w:val="1"/>
                <w:bCs w:val="1"/>
                <w:color w:val="auto"/>
              </w:rPr>
              <w:t>(1)</w:t>
            </w:r>
          </w:p>
        </w:tc>
        <w:tc>
          <w:tcPr>
            <w:tcW w:w="720" w:type="dxa"/>
            <w:vAlign w:val="bottom"/>
          </w:tcPr>
          <w:p>
            <w:pPr>
              <w:spacing w:after="0"/>
              <w:rPr>
                <w:sz w:val="11"/>
                <w:szCs w:val="11"/>
                <w:color w:val="auto"/>
              </w:rPr>
            </w:pPr>
          </w:p>
        </w:tc>
        <w:tc>
          <w:tcPr>
            <w:tcW w:w="14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Other Investments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Total</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620" w:type="dxa"/>
            <w:vAlign w:val="bottom"/>
            <w:gridSpan w:val="5"/>
            <w:shd w:val="clear" w:color="auto" w:fill="CCEEFF"/>
          </w:tcPr>
          <w:p>
            <w:pPr>
              <w:spacing w:after="0" w:line="203" w:lineRule="exact"/>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line="203" w:lineRule="exact"/>
              <w:rPr>
                <w:sz w:val="20"/>
                <w:szCs w:val="20"/>
                <w:color w:val="auto"/>
              </w:rPr>
            </w:pPr>
            <w:r>
              <w:rPr>
                <w:rFonts w:ascii="Arial" w:cs="Arial" w:eastAsia="Arial" w:hAnsi="Arial"/>
                <w:sz w:val="18"/>
                <w:szCs w:val="18"/>
                <w:color w:val="auto"/>
                <w:w w:val="79"/>
              </w:rPr>
              <w:t>788</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1,370</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8"/>
                <w:szCs w:val="18"/>
                <w:color w:val="auto"/>
              </w:rPr>
              <w:t>Non-current assets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445</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1,437</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703</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12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620" w:type="dxa"/>
            <w:vAlign w:val="bottom"/>
            <w:gridSpan w:val="5"/>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298</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603</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350"/>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w w:val="91"/>
              </w:rPr>
              <w:t>F-35</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Statement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ind w:left="100"/>
              <w:spacing w:after="0"/>
              <w:rPr>
                <w:sz w:val="20"/>
                <w:szCs w:val="20"/>
                <w:color w:val="auto"/>
              </w:rPr>
            </w:pPr>
            <w:r>
              <w:rPr>
                <w:rFonts w:ascii="Arial" w:cs="Arial" w:eastAsia="Arial" w:hAnsi="Arial"/>
                <w:sz w:val="14"/>
                <w:szCs w:val="14"/>
                <w:b w:val="1"/>
                <w:bCs w:val="1"/>
                <w:color w:val="auto"/>
              </w:rPr>
              <w:t>Fiscal Year Ended 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2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740" w:type="dxa"/>
            <w:vAlign w:val="bottom"/>
            <w:tcBorders>
              <w:bottom w:val="single" w:sz="8" w:color="auto"/>
            </w:tcBorders>
            <w:vMerge w:val="continue"/>
          </w:tcPr>
          <w:p>
            <w:pPr>
              <w:spacing w:after="0"/>
              <w:rPr>
                <w:sz w:val="11"/>
                <w:szCs w:val="11"/>
                <w:color w:val="auto"/>
              </w:rPr>
            </w:pPr>
          </w:p>
        </w:tc>
        <w:tc>
          <w:tcPr>
            <w:tcW w:w="428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315"/>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Arm China</w:t>
            </w:r>
          </w:p>
        </w:tc>
        <w:tc>
          <w:tcPr>
            <w:tcW w:w="100" w:type="dxa"/>
            <w:vAlign w:val="bottom"/>
          </w:tcPr>
          <w:p>
            <w:pPr>
              <w:spacing w:after="0"/>
              <w:rPr>
                <w:sz w:val="10"/>
                <w:szCs w:val="10"/>
                <w:color w:val="auto"/>
              </w:rPr>
            </w:pPr>
          </w:p>
        </w:tc>
        <w:tc>
          <w:tcPr>
            <w:tcW w:w="74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Arm China</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0"/>
                <w:szCs w:val="10"/>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913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858</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465</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40" w:hanging="424"/>
        <w:spacing w:after="0" w:line="258" w:lineRule="auto"/>
        <w:tabs>
          <w:tab w:leader="none" w:pos="540" w:val="left"/>
        </w:tabs>
        <w:numPr>
          <w:ilvl w:val="0"/>
          <w:numId w:val="143"/>
        </w:numPr>
        <w:rPr>
          <w:rFonts w:ascii="Arial" w:cs="Arial" w:eastAsia="Arial" w:hAnsi="Arial"/>
          <w:sz w:val="24"/>
          <w:szCs w:val="24"/>
          <w:color w:val="auto"/>
          <w:vertAlign w:val="superscript"/>
        </w:rPr>
      </w:pPr>
      <w:r>
        <w:rPr>
          <w:rFonts w:ascii="Arial" w:cs="Arial" w:eastAsia="Arial" w:hAnsi="Arial"/>
          <w:sz w:val="16"/>
          <w:szCs w:val="16"/>
          <w:color w:val="auto"/>
        </w:rPr>
        <w:t>Arm China was divested to the immediate shareholders of the Company on March 28, 2022. As part of the divestiture process, the Company became a 10% shareholder in Acetone Limited. The remaining 90% interest in Acetone Limited is held by the immediate shareholders of the Company. Given that Acetone Limited’s only asset is its investment in Arm China, in lieu of the fact that the Company is already disclosing the balance sheet of Arm China, the Company did not consider it appropriate to reflect the assets and liabilities of Acetone Limited in this footnote.</w:t>
      </w:r>
    </w:p>
    <w:p>
      <w:pPr>
        <w:spacing w:after="0" w:line="19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Investments in a limited liability company that maintains a specific ownership or limited partnerships which the Company has more than virtually no influence (</w:t>
      </w:r>
      <w:r>
        <w:rPr>
          <w:rFonts w:ascii="Arial" w:cs="Arial" w:eastAsia="Arial" w:hAnsi="Arial"/>
          <w:sz w:val="18"/>
          <w:szCs w:val="18"/>
          <w:i w:val="1"/>
          <w:iCs w:val="1"/>
          <w:color w:val="auto"/>
        </w:rPr>
        <w:t>i.e.</w:t>
      </w:r>
      <w:r>
        <w:rPr>
          <w:rFonts w:ascii="Arial" w:cs="Arial" w:eastAsia="Arial" w:hAnsi="Arial"/>
          <w:sz w:val="18"/>
          <w:szCs w:val="18"/>
          <w:color w:val="auto"/>
        </w:rPr>
        <w:t>, at least 3% to 5% ownership) over the investee are accounted for using the equity method.</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The Company elected the fair value option to account for certain equity method investments. See the discussion below regarding Arm China, Acetone Limited, and Ampere, along with Note 12, </w:t>
      </w:r>
      <w:r>
        <w:rPr>
          <w:rFonts w:ascii="Arial" w:cs="Arial" w:eastAsia="Arial" w:hAnsi="Arial"/>
          <w:sz w:val="18"/>
          <w:szCs w:val="18"/>
          <w:i w:val="1"/>
          <w:iCs w:val="1"/>
          <w:color w:val="auto"/>
        </w:rPr>
        <w:t>Fair Value</w:t>
      </w:r>
      <w:r>
        <w:rPr>
          <w:rFonts w:ascii="Arial" w:cs="Arial" w:eastAsia="Arial" w:hAnsi="Arial"/>
          <w:sz w:val="18"/>
          <w:szCs w:val="18"/>
          <w:color w:val="auto"/>
        </w:rPr>
        <w:t>, for further information.</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For the fiscal years ended March 31, 2022 and 2021, income (losses) from equity method investments not accounted under the fair value option or the NAV practical expedient was immaterial.</w:t>
      </w:r>
    </w:p>
    <w:p>
      <w:pPr>
        <w:spacing w:after="0" w:line="17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Company holds equity method investments in funds accounted for under the fair value option that apply the NAV practical expedient. The estimated fair values of the Company’s equity securities at fair value that qualify for the NAV practical expedient were provided by the partnerships based on the indicated market values of the underlying assets or investment portfolios. As of March 31, 2022, the carrying value of equity method investments under the fair value option measured at NAV was $106.9 million. For the fiscal years ended March 31, 2022 and 2021, the Company recognized gains from changes in fair value of $40.0 million and $8.3 million, respectively, for equity method investments accounted for under the NAV practical expedient. Changes in fair value are recorded through income from equity investments, net on the Consolidated Income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Arm China and Acetone Limited</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Prior to restructuring its investment in March 2022, the Company held an equity method investment in Arm China. Factors resulting in significant influence included: (a) the Company held a 48.18% equity holding in Arm China with associated rights; (b) the Company was party to the IPLA and has service share transactions with Arm China, along with certain leases; and (c) the Company had the ability to nominate a representative to Arm China’s board of directors. The Company elected to apply the fair value option to this equity method investment.</w:t>
      </w:r>
    </w:p>
    <w:p>
      <w:pPr>
        <w:spacing w:after="0" w:line="17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Pursuant to the IPLA, a substantial portion of customer contracts previously held by the Company’s former PRC subsidiary were novated to Arm China; under such contracts the Company is entitled to a share of revenue earned by Arm China. Where contracts were not novated from the Company’s former PRC subsidiary to Arm China, the Company has an obligation to pay a reseller fee on the revenue derived from those entities within the PRC geography.</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March 2022, the Company transferred its interest in Arm China to Acetone Limited, a newly created company. Immediately thereafter, the Company transferred 67% of its interest in Acetone Limited, to SoftBank Capital Group Limited (“SBGC”), and 23% of its interest in SVF Holdco Limited (“SVF”) for a note receivable of $930.3 million (the “Note Receivable”). The Note Receivable was immediately distributed proportionally to SBGC and SVF (the Company’s only shareholders), both entities under common control of SoftBank, free of cost and accordingly, treated similar to a dividend or distribution to the immediate shareholders of the Company as a reduction to retained earnings.</w:t>
      </w:r>
    </w:p>
    <w:p>
      <w:pPr>
        <w:spacing w:after="0" w:line="176"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Company retained a 10% non-voting shareholding interest in Acetone Limited. The Company concluded it did not control Acetone Limited, as its 10% shareholding interest is a non-voting interest, and the Company did not have any rights to nominate a director to Acetone Limited’s board of directors. However, the Company did conclude that it has significant influence in Acetone Limited, as (a) Acetone Limited’s sole asset is its 48.18% equity holding in Arm China, (b) the Company is party to the IPLA with Arm China, (c) the Company has significant inter-entity transactions with Arm China, including leased assets; and (d) the Company’s Chief Executive Officer has been appointed to Arm China’s board of directors by SoftBank. The Company elected to apply the fair value option to this retained equity method investment.</w:t>
      </w:r>
    </w:p>
    <w:p>
      <w:pPr>
        <w:spacing w:after="0" w:line="178"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As a result of these transactions, in March 2022, the Company removed the carrying value of its equity investment in Arm China of $1,084.1 million and recognized its investment in Acetone Limited at $108.4 million, with net distribution to immediate shareholders of the Company recognized as a reduction to retained earnings of $975.7 million.</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For the fiscal years ended March 31, 2022 and 2021, the Company recognized fair value gains of $72.3 million and $132.5 million, respectively, in connection with equity method investment in Arm China, and immaterial amounts associated with its retained interest in Acetone Limited.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Ampere</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As of March 31, 2022 the carrying value of the Company’s equity method investment in Ampere was $416.2 million. The Company elected to apply the fair value option to this equity method investment. Fair value gains and losses for this investment were immaterial for the fiscal year ended March 31, 2022. For the fiscal year ended March 31, 2021, the Company recognized a fair value gain of $341.2 million.</w:t>
      </w:r>
    </w:p>
    <w:p>
      <w:pPr>
        <w:spacing w:after="0" w:line="165"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In December 2021, the Company acquired a $29.0 million convertible promissory note in Ampere, which is included in other non-current assets on the Consolidated Balance Sheet. The Company’s maximum exposure to loss are the amounts invested in, and advanced to, Ampere as of March 31, 2022.</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March 31, 2022, the carrying value of assets measured at NAV was $28.5 million. For the fiscal years ended March 31, 2022 and 2021, the Company recognized gains from changes in fair value of $7.9 million and $10.1 million, respectively, for non-marketable securities accounted for under the NAV practical expedient.</w:t>
      </w:r>
    </w:p>
    <w:p>
      <w:pPr>
        <w:spacing w:after="0" w:line="192"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components of gains (losses) which primarily include unrealized gains and losses on non-marketable securities inclusive of those measured under the NAV practical expedient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8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5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96"/>
              </w:rPr>
              <w:t>2022</w:t>
            </w: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Observable price adjustments on non-marketable equity securities (includes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NAV)</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Impairment of non-marketable equity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non-marketable equity securities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 gains (losses) on non-marketable securities</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All investments held by the Company are considered long-term to enable ecosystem growth and are non-current assets. For the fiscal years ended March 31, 2022 and 2021, the Company received $2.4 million and $3.2 million, respectively, in dividends from equity investments measured using the NAV practical expedient. The total amount of financial commitments to existing investees of the Company not provided for in the consolidated financial statements was $25.0 million and $ 23.6 million as of March 31, 2022, and 2021, respectively.</w:t>
      </w:r>
    </w:p>
    <w:p>
      <w:pPr>
        <w:spacing w:after="0" w:line="31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and Other 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Loans and other receivables carried at amortized cost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As of March 31, 2022</w:t>
            </w: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6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Loans receivable</w:t>
            </w:r>
          </w:p>
        </w:tc>
        <w:tc>
          <w:tcPr>
            <w:tcW w:w="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current expected credit losses</w:t>
            </w:r>
          </w:p>
        </w:tc>
        <w:tc>
          <w:tcPr>
            <w:tcW w:w="5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Loans and other receivables carried at amortized cost, net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allowance for current expected credit losses reflects the Company’s best estimate of expected credit losses of the receivables portfolio determined on the basis of historical experience, current information, and forecasts of future economic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 receivable</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 issued a four-year loan of $25.0 million to Arduino SA (“Arduino”) in July 2017. In March 2020, the Company amended the terms of the loan receivable by reducing the annual interest rate from 6% to 3% and, in conjunction with the amendment, the Company received Series A preferred stock of Arduino to partially settle the loan receivable. The Company accounts for this investment using the measurement alternative because such security is not publicly traded and does not have a readily determinable fair value. For the fiscal year ended March 31, 2021, the Company recognized an impairment loss of $11.0 million related to such investment. For the fiscal year ended March 31, 2022, the Company did not record any impairment related to such investment.</w:t>
      </w:r>
    </w:p>
    <w:p>
      <w:pPr>
        <w:spacing w:after="0" w:line="192"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In July 2021, the Company further amended the terms of the loan receivable by extending the maturity date from July 2021 to January 2023. These amendments were accounted for as a troubled debt restructuring. Under the troubled debt restructuring, unamortized fees and costs are carried forward and continue to be included in the amortized cost basis of the loan receivable. Other direct third-party costs incurred were expensed as incurred and</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were included in other non-operating income (loss), net on the Consolidated Income Statements. The Company did not receive any fees in connection with these troubled debt restructurings. There were no payment defaults as the accrued interest and the principal amount of the loan receivable was only required to be repaid at maturity.</w:t>
      </w:r>
    </w:p>
    <w:p>
      <w:pPr>
        <w:spacing w:after="0" w:line="18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For the fiscal year ended March 31, 2021, the loan receivable of $23.0 million from Arduino was impaired in full as the balance was not expected to be recovered, resulting in the recognition of an expected credit loss of $23.0 million. The expected credit loss was recorded in other non-operating income (loss), net on the Consolidated Income Statements.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addition to the aforementioned Arduino loan receivable, the remaining balance for the fiscal year ended March 31, 2022 included other loans receivable, primarily comprising a four-year loan of $3.0 million issued to Cerfe Labs, Inc., at an interest rate comparable to market interest rates, with repayment due upon maturity.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See Note 20,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for further information on loans to related parties.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In November 2021, the Company sold 100% of its ownership in IoTP to the Company’s immediate shareholders for $12.0 million in cash consideration. Balances included in other receivables comprised mainly of the $12.0 million receivable from the Company’s immediate shareholders recorded in prepaid and other current assets on the Consolidated Balance Sheet as of March 31, 2022. See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further information about the sale of IoTP to the immediate shareholders of the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In June 2020, the Company acquired a $2.9 million principal balance convertible loan in PragmatIC Semiconductor Limited (“PragmatIC”). The entire convertible loan was converted to equity of PragmatIC Semiconductor Limited in October 2021. As of March 31, 2022 the carrying value of the Company’s non-marketable equity security in PragmatIC was $39.0 million. The Company accounts for the investment using the measurement alternative because the securities are not publicly traded and do not have a readily determinable fair value.</w:t>
      </w:r>
    </w:p>
    <w:p>
      <w:pPr>
        <w:spacing w:after="0" w:line="17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December 2021, the Company acquired a $29.0 million principal balance convertible loan in Ampere. The Company elected the fair value option to measure this convertible loan receivable for which changes in fair value are recorded in other non-operating income (loss), net on the Consolidated Income Statements. For the fiscal year ended March 31, 2022, no material gains or losses were recognized for this loan receivable.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Company enters into foreign currency forward contracts to mitigate the impact of foreign currency exchange rate movements on its operating expenses. These contracts are not designated for hedge accounting treatment. Gains and losses on these contracts are recorded in other non-operating income (loss), net on the Consolidated Income Statements. As of March 31, 2022, the liability-classified net fair value for currency exchange contracts was $9.4 million. As of March 31, 2021, the net asset-classified fair value for currency exchange contracts was $2.1 million. The notional value of foreign currency forward contracts outstanding for non-designated hedges as of March 31, 2022 and 2021 was $429.8 million and $125.6 million, respectively.</w:t>
      </w:r>
    </w:p>
    <w:p>
      <w:pPr>
        <w:spacing w:after="0" w:line="1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9" w:right="49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measurement levels for any periods presented.</w:t>
      </w:r>
    </w:p>
    <w:p>
      <w:pPr>
        <w:spacing w:after="0" w:line="1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following table presents the Company’s fair value hierarchy for the liability measured and recognized at fair value as of March 31, 2022 on a recurring basis: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6"/>
              </w:rPr>
              <w:t>As of March 31, 2022</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520" w:type="dxa"/>
            <w:vAlign w:val="bottom"/>
            <w:gridSpan w:val="3"/>
            <w:vMerge w:val="continue"/>
          </w:tcPr>
          <w:p>
            <w:pPr>
              <w:spacing w:after="0"/>
              <w:rPr>
                <w:sz w:val="11"/>
                <w:szCs w:val="11"/>
                <w:color w:val="auto"/>
              </w:rPr>
            </w:pPr>
          </w:p>
        </w:tc>
        <w:tc>
          <w:tcPr>
            <w:tcW w:w="24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Level 2</w:t>
            </w: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8"/>
              </w:rPr>
              <w:t>Level 3</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liabilities</w:t>
            </w:r>
          </w:p>
        </w:tc>
        <w:tc>
          <w:tcPr>
            <w:tcW w:w="2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Currency exchange contracts</w:t>
            </w:r>
          </w:p>
        </w:tc>
        <w:tc>
          <w:tcPr>
            <w:tcW w:w="24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2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tables present the Company’s fair value hierarchy for assets measured and recognized at fair value, excluding investments where the NAV practical expedient has been elected as of March 31, 2022 on a recurring basis: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5"/>
              </w:rPr>
              <w:t>As of March 31, 2022</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4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7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8"/>
              </w:rPr>
              <w:t>Level 1</w:t>
            </w:r>
          </w:p>
        </w:tc>
        <w:tc>
          <w:tcPr>
            <w:tcW w:w="26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42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assets</w:t>
            </w:r>
          </w:p>
        </w:tc>
        <w:tc>
          <w:tcPr>
            <w:tcW w:w="2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line="216" w:lineRule="exact"/>
              <w:rPr>
                <w:sz w:val="20"/>
                <w:szCs w:val="20"/>
                <w:color w:val="auto"/>
              </w:rPr>
            </w:pPr>
            <w:r>
              <w:rPr>
                <w:rFonts w:ascii="Arial" w:cs="Arial" w:eastAsia="Arial" w:hAnsi="Arial"/>
                <w:sz w:val="17"/>
                <w:szCs w:val="17"/>
                <w:color w:val="auto"/>
              </w:rPr>
              <w:t>Short-term investments</w:t>
            </w:r>
            <w:r>
              <w:rPr>
                <w:rFonts w:ascii="Arial" w:cs="Arial" w:eastAsia="Arial" w:hAnsi="Arial"/>
                <w:sz w:val="25"/>
                <w:szCs w:val="25"/>
                <w:color w:val="auto"/>
                <w:vertAlign w:val="superscript"/>
              </w:rPr>
              <w:t>(1)</w:t>
            </w:r>
          </w:p>
        </w:tc>
        <w:tc>
          <w:tcPr>
            <w:tcW w:w="3020" w:type="dxa"/>
            <w:vAlign w:val="bottom"/>
            <w:gridSpan w:val="3"/>
          </w:tcPr>
          <w:p>
            <w:pPr>
              <w:jc w:val="right"/>
              <w:ind w:right="260"/>
              <w:spacing w:after="0"/>
              <w:rPr>
                <w:sz w:val="20"/>
                <w:szCs w:val="20"/>
                <w:color w:val="auto"/>
              </w:rPr>
            </w:pPr>
            <w:r>
              <w:rPr>
                <w:rFonts w:ascii="Arial" w:cs="Arial" w:eastAsia="Arial" w:hAnsi="Arial"/>
                <w:sz w:val="18"/>
                <w:szCs w:val="18"/>
                <w:color w:val="auto"/>
              </w:rPr>
              <w:t>$ 631</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loans receivable</w:t>
            </w:r>
          </w:p>
        </w:tc>
        <w:tc>
          <w:tcPr>
            <w:tcW w:w="2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line="216" w:lineRule="exact"/>
              <w:rPr>
                <w:sz w:val="20"/>
                <w:szCs w:val="20"/>
                <w:color w:val="auto"/>
              </w:rPr>
            </w:pPr>
            <w:r>
              <w:rPr>
                <w:rFonts w:ascii="Arial" w:cs="Arial" w:eastAsia="Arial" w:hAnsi="Arial"/>
                <w:sz w:val="17"/>
                <w:szCs w:val="17"/>
                <w:color w:val="auto"/>
              </w:rPr>
              <w:t>Equity method investments</w:t>
            </w:r>
            <w:r>
              <w:rPr>
                <w:rFonts w:ascii="Arial" w:cs="Arial" w:eastAsia="Arial" w:hAnsi="Arial"/>
                <w:sz w:val="25"/>
                <w:szCs w:val="25"/>
                <w:color w:val="auto"/>
                <w:vertAlign w:val="superscript"/>
              </w:rPr>
              <w:t>(2)</w:t>
            </w:r>
          </w:p>
        </w:tc>
        <w:tc>
          <w:tcPr>
            <w:tcW w:w="23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3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$ 631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$ 553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27"/>
          <w:szCs w:val="27"/>
          <w:color w:val="auto"/>
          <w:vertAlign w:val="superscript"/>
        </w:rPr>
      </w:pPr>
      <w:r>
        <w:rPr>
          <w:rFonts w:ascii="Arial" w:cs="Arial" w:eastAsia="Arial" w:hAnsi="Arial"/>
          <w:sz w:val="18"/>
          <w:szCs w:val="18"/>
          <w:color w:val="auto"/>
        </w:rPr>
        <w:t>Short-term investments represent term deposits with banks with a maturity between three and 12 months.</w:t>
      </w:r>
    </w:p>
    <w:p>
      <w:pPr>
        <w:spacing w:after="0" w:line="1" w:lineRule="exact"/>
        <w:rPr>
          <w:rFonts w:ascii="Arial" w:cs="Arial" w:eastAsia="Arial" w:hAnsi="Arial"/>
          <w:sz w:val="27"/>
          <w:szCs w:val="27"/>
          <w:color w:val="auto"/>
          <w:vertAlign w:val="superscript"/>
        </w:rPr>
      </w:pPr>
    </w:p>
    <w:p>
      <w:pPr>
        <w:ind w:left="540" w:right="260" w:hanging="424"/>
        <w:spacing w:after="0" w:line="199" w:lineRule="auto"/>
        <w:tabs>
          <w:tab w:leader="none" w:pos="540" w:val="left"/>
        </w:tabs>
        <w:numPr>
          <w:ilvl w:val="0"/>
          <w:numId w:val="145"/>
        </w:numPr>
        <w:rPr>
          <w:rFonts w:ascii="Arial" w:cs="Arial" w:eastAsia="Arial" w:hAnsi="Arial"/>
          <w:sz w:val="27"/>
          <w:szCs w:val="27"/>
          <w:color w:val="auto"/>
          <w:vertAlign w:val="superscript"/>
        </w:rPr>
      </w:pPr>
      <w:r>
        <w:rPr>
          <w:rFonts w:ascii="Arial" w:cs="Arial" w:eastAsia="Arial" w:hAnsi="Arial"/>
          <w:sz w:val="18"/>
          <w:szCs w:val="18"/>
          <w:color w:val="auto"/>
        </w:rPr>
        <w:t>In accordance with Subtopic 820-10, investments that are measured at fair value using the NAV practical expedient are not classified in the fair value hierarchy.</w:t>
      </w:r>
    </w:p>
    <w:p>
      <w:pPr>
        <w:spacing w:after="0" w:line="203"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following tables summarize changes in the fair value, along with other activity associated with the Company’s Level 3 financial assets and liabilities: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Fair value of financial assets at the beginning of the year</w:t>
            </w:r>
          </w:p>
        </w:tc>
        <w:tc>
          <w:tcPr>
            <w:tcW w:w="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2"/>
          </w:tcPr>
          <w:p>
            <w:pPr>
              <w:spacing w:after="0" w:line="201" w:lineRule="exact"/>
              <w:rPr>
                <w:sz w:val="20"/>
                <w:szCs w:val="20"/>
                <w:color w:val="auto"/>
              </w:rPr>
            </w:pPr>
            <w:r>
              <w:rPr>
                <w:rFonts w:ascii="Arial" w:cs="Arial" w:eastAsia="Arial" w:hAnsi="Arial"/>
                <w:sz w:val="18"/>
                <w:szCs w:val="18"/>
                <w:color w:val="auto"/>
              </w:rPr>
              <w:t>Additions, net of contributions from shareholders of the</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Company</w:t>
            </w:r>
          </w:p>
        </w:tc>
        <w:tc>
          <w:tcPr>
            <w:tcW w:w="5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gains recognized in the income statement</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Distributions to shareholders of the Company</w:t>
            </w:r>
          </w:p>
        </w:tc>
        <w:tc>
          <w:tcPr>
            <w:tcW w:w="5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at the end of the year</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320" w:type="dxa"/>
            <w:vAlign w:val="bottom"/>
            <w:vMerge w:val="restart"/>
          </w:tcPr>
          <w:p>
            <w:pPr>
              <w:ind w:left="2940"/>
              <w:spacing w:after="0"/>
              <w:rPr>
                <w:sz w:val="20"/>
                <w:szCs w:val="20"/>
                <w:color w:val="auto"/>
              </w:rPr>
            </w:pPr>
            <w:r>
              <w:rPr>
                <w:rFonts w:ascii="Arial" w:cs="Arial" w:eastAsia="Arial" w:hAnsi="Arial"/>
                <w:sz w:val="18"/>
                <w:szCs w:val="18"/>
                <w:color w:val="auto"/>
              </w:rPr>
              <w:t>F-40</w:t>
            </w: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As of March 31, 2022</w:t>
            </w: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6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Fair value of financial assets at the beginning of the year</w:t>
            </w:r>
          </w:p>
        </w:tc>
        <w:tc>
          <w:tcPr>
            <w:tcW w:w="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6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Converted into equity</w:t>
            </w:r>
          </w:p>
        </w:tc>
        <w:tc>
          <w:tcPr>
            <w:tcW w:w="6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Fair value at the end of the year</w:t>
            </w: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See below for a description of the valuation techniques and inputs used in the fair value measurement of Level 3 investments including equity method investments, convertible loans receivable, and currency exchange contracts.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 xml:space="preserve">The Company elected the fair value option in accordance with the guidance in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(“ASC 825”) for its investments in Arm China,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and/or (ii) subject to availability of sufficient information, the income approach based on the discounted cash flow method.</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market-calibration approach considers valuation multiples that are calibrated to the valuation as of the prior valuation date (</w:t>
      </w:r>
      <w:r>
        <w:rPr>
          <w:rFonts w:ascii="Arial" w:cs="Arial" w:eastAsia="Arial" w:hAnsi="Arial"/>
          <w:sz w:val="16"/>
          <w:szCs w:val="16"/>
          <w:i w:val="1"/>
          <w:iCs w:val="1"/>
          <w:color w:val="auto"/>
        </w:rPr>
        <w:t>i.e.</w:t>
      </w:r>
      <w:r>
        <w:rPr>
          <w:rFonts w:ascii="Arial" w:cs="Arial" w:eastAsia="Arial" w:hAnsi="Arial"/>
          <w:sz w:val="16"/>
          <w:szCs w:val="16"/>
          <w:color w:val="auto"/>
        </w:rPr>
        <w:t>, quarterly) based on:</w:t>
      </w:r>
    </w:p>
    <w:p>
      <w:pPr>
        <w:spacing w:after="0" w:line="46" w:lineRule="exact"/>
        <w:rPr>
          <w:sz w:val="20"/>
          <w:szCs w:val="20"/>
          <w:color w:val="auto"/>
        </w:rPr>
      </w:pPr>
    </w:p>
    <w:p>
      <w:pPr>
        <w:ind w:left="120" w:right="180" w:hanging="4"/>
        <w:spacing w:after="0" w:line="253" w:lineRule="auto"/>
        <w:tabs>
          <w:tab w:leader="none" w:pos="36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changes in the broader market or industry; (b) changes in the guideline public companies; and (c) changes in the company’s operating and financial performance. The fair value computation under this approach includes a key assumption for the range of valuation multiples (</w:t>
      </w:r>
      <w:r>
        <w:rPr>
          <w:rFonts w:ascii="Arial" w:cs="Arial" w:eastAsia="Arial" w:hAnsi="Arial"/>
          <w:sz w:val="18"/>
          <w:szCs w:val="18"/>
          <w:i w:val="1"/>
          <w:iCs w:val="1"/>
          <w:color w:val="auto"/>
        </w:rPr>
        <w:t>i.e.</w:t>
      </w:r>
      <w:r>
        <w:rPr>
          <w:rFonts w:ascii="Arial" w:cs="Arial" w:eastAsia="Arial" w:hAnsi="Arial"/>
          <w:sz w:val="18"/>
          <w:szCs w:val="18"/>
          <w:color w:val="auto"/>
        </w:rPr>
        <w:t>, enterprise value or revenue), which requires significant professional judgment by the valuation specialist and is based on observable inputs (</w:t>
      </w:r>
      <w:r>
        <w:rPr>
          <w:rFonts w:ascii="Arial" w:cs="Arial" w:eastAsia="Arial" w:hAnsi="Arial"/>
          <w:sz w:val="18"/>
          <w:szCs w:val="18"/>
          <w:i w:val="1"/>
          <w:iCs w:val="1"/>
          <w:color w:val="auto"/>
        </w:rPr>
        <w:t>e.g.</w:t>
      </w:r>
      <w:r>
        <w:rPr>
          <w:rFonts w:ascii="Arial" w:cs="Arial" w:eastAsia="Arial" w:hAnsi="Arial"/>
          <w:sz w:val="18"/>
          <w:szCs w:val="18"/>
          <w:color w:val="auto"/>
        </w:rPr>
        <w:t>, market data) and unobservable inputs (</w:t>
      </w:r>
      <w:r>
        <w:rPr>
          <w:rFonts w:ascii="Arial" w:cs="Arial" w:eastAsia="Arial" w:hAnsi="Arial"/>
          <w:sz w:val="18"/>
          <w:szCs w:val="18"/>
          <w:i w:val="1"/>
          <w:iCs w:val="1"/>
          <w:color w:val="auto"/>
        </w:rPr>
        <w:t>e.g.</w:t>
      </w:r>
      <w:r>
        <w:rPr>
          <w:rFonts w:ascii="Arial" w:cs="Arial" w:eastAsia="Arial" w:hAnsi="Arial"/>
          <w:sz w:val="18"/>
          <w:szCs w:val="18"/>
          <w:color w:val="auto"/>
        </w:rPr>
        <w:t>, market participant assumptions).</w:t>
      </w:r>
    </w:p>
    <w:p>
      <w:pPr>
        <w:spacing w:after="0" w:line="193"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income approach is based on the discounted cash flow method which considers estimated future financial performance, and includes assumptions for, among others, forecasted revenues, expenses, capital expenditures, and working capital, some of which require significant judgement by management and are not based on observable inputs.</w:t>
      </w:r>
    </w:p>
    <w:p>
      <w:pPr>
        <w:spacing w:after="0" w:line="184"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following table provides quantitative information related to certain key assumptions utilized in the valuation of equity method investments accounted for under the fair value option as of March 31, 2022:</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158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Fair value as of</w:t>
            </w: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Valuation</w:t>
            </w:r>
          </w:p>
        </w:tc>
        <w:tc>
          <w:tcPr>
            <w:tcW w:w="2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Unobservable Inputs</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Range of Estimates</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March 31, 2022</w:t>
            </w: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Technique</w:t>
            </w:r>
          </w:p>
        </w:tc>
        <w:tc>
          <w:tcPr>
            <w:tcW w:w="2440" w:type="dxa"/>
            <w:vAlign w:val="bottom"/>
            <w:gridSpan w:val="2"/>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Equity Method Investments</w:t>
            </w: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Market-Calibration</w:t>
            </w:r>
          </w:p>
        </w:tc>
        <w:tc>
          <w:tcPr>
            <w:tcW w:w="20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LTM Revenue Multiple or</w:t>
            </w:r>
          </w:p>
        </w:tc>
        <w:tc>
          <w:tcPr>
            <w:tcW w:w="2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2.6x – 3.1x or probability</w:t>
            </w:r>
          </w:p>
        </w:tc>
        <w:tc>
          <w:tcPr>
            <w:tcW w:w="0" w:type="dxa"/>
            <w:vAlign w:val="bottom"/>
          </w:tcPr>
          <w:p>
            <w:pPr>
              <w:spacing w:after="0"/>
              <w:rPr>
                <w:sz w:val="1"/>
                <w:szCs w:val="1"/>
                <w:color w:val="auto"/>
              </w:rPr>
            </w:pPr>
          </w:p>
        </w:tc>
      </w:tr>
      <w:tr>
        <w:trPr>
          <w:trHeight w:val="230"/>
        </w:trPr>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524</w:t>
            </w:r>
          </w:p>
        </w:tc>
        <w:tc>
          <w:tcPr>
            <w:tcW w:w="2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or discounted cash flow</w:t>
            </w:r>
          </w:p>
        </w:tc>
        <w:tc>
          <w:tcPr>
            <w:tcW w:w="2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projected cash flows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weighted cash flows</w:t>
            </w: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2"/>
          </w:tcPr>
          <w:p>
            <w:pPr>
              <w:ind w:left="1560"/>
              <w:spacing w:after="0"/>
              <w:rPr>
                <w:sz w:val="20"/>
                <w:szCs w:val="20"/>
                <w:color w:val="auto"/>
              </w:rPr>
            </w:pPr>
            <w:r>
              <w:rPr>
                <w:rFonts w:ascii="Arial" w:cs="Arial" w:eastAsia="Arial" w:hAnsi="Arial"/>
                <w:sz w:val="18"/>
                <w:szCs w:val="18"/>
                <w:color w:val="auto"/>
              </w:rPr>
              <w:t>F-41</w:t>
            </w: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Receivable—Ampere</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In December 2021, the Company acquired a $29.0 million convertible promissory note in Ampere, which is included in other non-current assets on the Consolidated Balance Sheet. The Company’s maximum exposure to loss are the amounts invested in, and advanced to, Ampere as of March 31, 2022. As of March 31, 2022, the Company has not converted any of its convertible promissory note into equity.</w:t>
      </w:r>
    </w:p>
    <w:p>
      <w:pPr>
        <w:spacing w:after="0" w:line="184"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w:t>
      </w:r>
    </w:p>
    <w:p>
      <w:pPr>
        <w:spacing w:after="0" w:line="12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w:t>
      </w:r>
    </w:p>
    <w:p>
      <w:pPr>
        <w:spacing w:after="0" w:line="165"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March 31, 2022, the Company has not recognized any credit losses related to this convertible loan.</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fair value calculated using significant unobservable inputs did not differ materially from the amortized cost basis for the fiscal year ended March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Exchange Contracts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For currency exchange contracts, these contracts are valued at the present value of future cash flows based on forward exchange rates at the balance sheet date.</w:t>
      </w:r>
    </w:p>
    <w:p>
      <w:pPr>
        <w:spacing w:after="0" w:line="315"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Dividends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February 2021, a cash dividend of $750.0 million ($0.73 per ordinary share) was declared and paid to ordinary shareholders. No other dividends were declared or paid in the reporting periods presented in the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Shareholder Distributions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 xml:space="preserve">In June 2021, the Company distributed its ownership in Treasure Data to the immediate shareholders of the Company at a value of $44.2 million. See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information.</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 xml:space="preserve">In March 2022, the Company distributed its ownership in Arm China to the immediate shareholders of the Company, which represented a non-cash distribution of $975.7 million. See Note 10, </w:t>
      </w:r>
      <w:r>
        <w:rPr>
          <w:rFonts w:ascii="Arial" w:cs="Arial" w:eastAsia="Arial" w:hAnsi="Arial"/>
          <w:sz w:val="18"/>
          <w:szCs w:val="18"/>
          <w:i w:val="1"/>
          <w:iCs w:val="1"/>
          <w:color w:val="auto"/>
        </w:rPr>
        <w:t>Equity Investments</w:t>
      </w:r>
      <w:r>
        <w:rPr>
          <w:rFonts w:ascii="Arial" w:cs="Arial" w:eastAsia="Arial" w:hAnsi="Arial"/>
          <w:sz w:val="18"/>
          <w:szCs w:val="18"/>
          <w:color w:val="auto"/>
        </w:rPr>
        <w:t xml:space="preserve"> for further information.</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March 2022, the Company announced a restructuring plan to align its workforce with strategic business activities and to improve efficiencies in its operations. As a result of the restructuring plan, the Company recognized a liability of $25.8 million, in other current liabilities on the Consolidated Balance Sheet, of which $17.4 million related to estimated one-time employee termination benefit costs and $8.4 million related to costs associated with existing benefit arrangements. No payments were made as of the end of the fiscal year ended March 31, 2022. For the fiscal year ended March 31, 2022, restructuring expenses of $25.8 million were recognized in restructuring and related costs on the Consolidated Income Statements. The restructuring activities were substantially completed in the first two quarters of the subsequent fiscal year ended March 31, 2023.</w:t>
      </w:r>
    </w:p>
    <w:p>
      <w:pPr>
        <w:spacing w:after="0" w:line="309"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the following share-based compensation arrangements for the reporting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units—The Arm Limited All Employee Plan 2019 (“2019 AEP”)</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December 2019, an RSU plan was established for all employees of the Company. Vesting of these RSUs under the 2019 AEP requires the continue service of the employees through the vesting date, is subject to the achievement of a market condition target, and vesting occurs on the earliest of the following: (1) the occurrence of one of various liquidity events comprising a change in control of the Company, (2) an IPO, or (3) the passage of time with the date being March 9, 2026. The market condition target is tied to the valuation of the Company upon vesting. The plan allows for either share or cash settlement of the RSUs at the discretion of the Company’s Remuneration Committee. Upon the occurrence of a change in control or an IPO, and at the discretion of the Company’s Remuneration Committee, each RSU converts into one ordinary share on the vesting date. Conversely, upon the passage of time, each RSU is settled in cash at the vesting date.</w:t>
      </w:r>
    </w:p>
    <w:p>
      <w:pPr>
        <w:spacing w:after="0" w:line="17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For all periods presented and under GAAP, a change in control or an IPO is generally not considered probable until it has occurred. Accordingly, the RSUs would only be settled in cash upon the passage of time and were accounted as liability-classified awards. The Company also maintains a subplan for employees of its subsidiary, Arm Technology Israel Ltd. (“Arm Israel”), in which RSUs will be settled in cash at the vesting date upon the occurrence of a change in control, IPO or the passage of time with a long-stop date of March 9, 2026.</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Vesting requires continuous service until the passage of time and employees may elect not to participate in the plan. RSUs are settled in cash at the vesting date and neither carry rights to dividends nor voting rights. Awards are forfeited if an employee leaves the Company before the RSUs vest. For all reporting periods presented, the aggregate nominal amount of shares over which the Remuneration Committee may grant awards under the 2019 AEP will be limited so that it does not exceed at any time an amount equal to 2.2 percent of the aggregate nominal amount of the Company’s fully diluted equity share capital. As of March 31, 2022, and 2021, 13,507,360 and 14,817,424 RSUs were outstanding, respectively.</w:t>
      </w:r>
    </w:p>
    <w:p>
      <w:pPr>
        <w:spacing w:after="0" w:line="176"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For the fiscal years ended March 31, 2022 and 2021, $30.8 million and $37.5 million of share-based compensation, respectively, and $5.4 million and $3.2 million of tax benefit ,respectively, was recognized. As of March 31, 2022, $74.0 million was recognized as a liability for the liability-classified RSUs under the 2019 AEP in the non-current portion of liability for share-based compensation on the Consolidated Balance Sheet. As of March 31, 2022, there was $196.4 million of total unrecognized compensation expense related to awards issued under the 2019 AEP expected to be recognized over a weighted average period of 3.94 years.</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2019 AEP for all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Number of</w:t>
            </w: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Weighted Average</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RSU amounts)</w:t>
            </w:r>
          </w:p>
        </w:tc>
        <w:tc>
          <w:tcPr>
            <w:tcW w:w="8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184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4660" w:type="dxa"/>
            <w:vAlign w:val="bottom"/>
            <w:gridSpan w:val="3"/>
            <w:vMerge w:val="continue"/>
          </w:tcPr>
          <w:p>
            <w:pPr>
              <w:spacing w:after="0"/>
              <w:rPr>
                <w:sz w:val="13"/>
                <w:szCs w:val="13"/>
                <w:color w:val="auto"/>
              </w:rPr>
            </w:pPr>
          </w:p>
        </w:tc>
        <w:tc>
          <w:tcPr>
            <w:tcW w:w="8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RSUs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RSU</w:t>
            </w:r>
          </w:p>
        </w:tc>
        <w:tc>
          <w:tcPr>
            <w:tcW w:w="1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2020</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14,187,295</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15.48</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1,473,851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843,722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14,817,424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567,315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1,877,379</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13,507,360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Expected to vest as of March 31, 2022</w:t>
            </w:r>
          </w:p>
        </w:tc>
        <w:tc>
          <w:tcPr>
            <w:tcW w:w="860" w:type="dxa"/>
            <w:vAlign w:val="bottom"/>
            <w:tcBorders>
              <w:bottom w:val="single" w:sz="8" w:color="auto"/>
            </w:tcBorders>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20.02</w:t>
            </w:r>
          </w:p>
        </w:tc>
        <w:tc>
          <w:tcPr>
            <w:tcW w:w="118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3"/>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13,507,360</w:t>
            </w:r>
          </w:p>
        </w:tc>
        <w:tc>
          <w:tcPr>
            <w:tcW w:w="8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 did not have any payments arising from normal course vesting events for liability classified share based awards for the fiscal years ended March 31, 2022 and 2021. As of March 31, 2022, none of the RSUs under the 2019 AEP have vested.</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For the fiscal year ended March 31, 2021, fair value of the RSUs is estimated using a discounted cash flow approach based on the expected value for the Company as a result of a business combination, which was considered likely as of March 31, 2021. The expected payment was discounted using a risk-free rate of return based on the spot yield on U.S. Treasury Bonds with a tenor equal to six months.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AEP for the fiscal year ended March 31, 2021:</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Time to liquidity event (in years)</w:t>
            </w:r>
          </w:p>
        </w:tc>
        <w:tc>
          <w:tcPr>
            <w:tcW w:w="2900" w:type="dxa"/>
            <w:vAlign w:val="bottom"/>
          </w:tcPr>
          <w:p>
            <w:pPr>
              <w:jc w:val="right"/>
              <w:ind w:right="110"/>
              <w:spacing w:after="0"/>
              <w:rPr>
                <w:sz w:val="20"/>
                <w:szCs w:val="20"/>
                <w:color w:val="auto"/>
              </w:rPr>
            </w:pPr>
            <w:r>
              <w:rPr>
                <w:rFonts w:ascii="Arial" w:cs="Arial" w:eastAsia="Arial" w:hAnsi="Arial"/>
                <w:sz w:val="18"/>
                <w:szCs w:val="18"/>
                <w:color w:val="auto"/>
              </w:rPr>
              <w:t>0.5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2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0.9998</w:t>
            </w:r>
          </w:p>
        </w:tc>
      </w:tr>
    </w:tbl>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the fiscal year ended March 31, 2022, the weighted average fair value of the RSUs is measured using the Monte Carlo simulation model. The Monte Carlo methodology incorporates into the valuation all possible outcomes that could result in the vesting of the awards. Where relevant, the expected term used in the model has been adjusted based on the Company’s best estimate for the effects of non-transferability and exercise restrictions (including the probability of meeting market conditions attached to the RSUs).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AEP for the fiscal year ended March 31, 2022:</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4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$39.27</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Expected volatility until liquidity event</w:t>
            </w:r>
          </w:p>
        </w:tc>
        <w:tc>
          <w:tcPr>
            <w:tcW w:w="4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event</w:t>
            </w:r>
          </w:p>
        </w:tc>
        <w:tc>
          <w:tcPr>
            <w:tcW w:w="4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Dividend yield</w:t>
            </w:r>
          </w:p>
        </w:tc>
        <w:tc>
          <w:tcPr>
            <w:tcW w:w="42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365"/>
        </w:trPr>
        <w:tc>
          <w:tcPr>
            <w:tcW w:w="3260" w:type="dxa"/>
            <w:vAlign w:val="bottom"/>
          </w:tcPr>
          <w:p>
            <w:pPr>
              <w:spacing w:after="0"/>
              <w:rPr>
                <w:sz w:val="24"/>
                <w:szCs w:val="24"/>
                <w:color w:val="auto"/>
              </w:rPr>
            </w:pPr>
          </w:p>
        </w:tc>
        <w:tc>
          <w:tcPr>
            <w:tcW w:w="4220" w:type="dxa"/>
            <w:vAlign w:val="bottom"/>
          </w:tcPr>
          <w:p>
            <w:pPr>
              <w:jc w:val="right"/>
              <w:ind w:right="3370"/>
              <w:spacing w:after="0"/>
              <w:rPr>
                <w:sz w:val="20"/>
                <w:szCs w:val="20"/>
                <w:color w:val="auto"/>
              </w:rPr>
            </w:pPr>
            <w:r>
              <w:rPr>
                <w:rFonts w:ascii="Arial" w:cs="Arial" w:eastAsia="Arial" w:hAnsi="Arial"/>
                <w:sz w:val="18"/>
                <w:szCs w:val="18"/>
                <w:color w:val="auto"/>
              </w:rPr>
              <w:t>F-44</w:t>
            </w:r>
          </w:p>
        </w:tc>
      </w:tr>
    </w:tbl>
    <w:p>
      <w:pPr>
        <w:sectPr>
          <w:pgSz w:w="11900" w:h="16838" w:orient="portrait"/>
          <w:cols w:equalWidth="0" w:num="1">
            <w:col w:w="11100"/>
          </w:cols>
          <w:pgMar w:left="320" w:top="459" w:right="4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units—Executive IPO Plan (“2019 EIP”)</w:t>
      </w:r>
    </w:p>
    <w:p>
      <w:pPr>
        <w:spacing w:after="0" w:line="117"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In April 2020, a RSU plan was put in place for certain employees who are members of the Executive Committee of the Company. The vesting of these RSUs under the 2019 EIP requires the continue service of the employees through the vesting date, is subject to the achievement of a market-condition target, and vesting occurs on the earliest of the following: (1) the occurrence of one of various liquidity events comprising a change in control of the Company, (2) an IPO, and (3) the passage of time with the date being March 9, 2026. The market condition target is tied to the valuation of the Company upon vesting. The 2019 EIP allows for either share or cash settlement of the RSUs at the discretion of the Company’s Remuneration Committee. Upon the occurrence of a change in control or an IPO, and at the discretion of the Company’s Remuneration Committee, each RSU converts into one ordinary share on the vesting date. Conversely, upon the passage of time, each RSU is settled in cash at the vesting date. For all periods presented and under GAAP, a change in control or an IPO is generally not considered probable until it has occurred. Accordingly, the RSUs would only be settled in cash upon the passage of time and were accounted as liability-classified awards. Employees require continuous service until the passage of time and may elect not to participate in the 2019 AEP. RSUs are settled in cash at the vesting date and neither carry rights to dividends nor voting rights. Awards are forfeited if an employee leaves the Company before the RSUs vest. For all periods presented, the aggregate nominal amount of shares over which the Remuneration Committee may grant awards under the 2019 EIP will be limited so that it does not exceed at any time an amount equal to 0.3 percent of the aggregate nominal amount of the Company’s fully diluted equity share capital. As of March 31, 2022 and 2021, 903,925 and</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2,214,568 RSUs were outstanding, respectively.</w:t>
      </w:r>
    </w:p>
    <w:p>
      <w:pPr>
        <w:spacing w:after="0" w:line="211"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For the fiscal years ended March 31, 2022 and 2021, a share-based compensation credit of $0.5 million and expense of $4.1 million, respectively, were recognized, respectively, in connection with the awards issued under the 2019 EIP. The share-based compensation credit for the fiscal year ended March 31, 2022 was attributable to executive departures. There was no tax impact related to the 2019 EIP RSUs for the fiscal year ended March 31, 2022. For the fiscal year ended March 31, 2021, the tax benefit recorded was $0.7 million. As of March 31, 2022 and 2021, $3.5 million and</w:t>
      </w:r>
    </w:p>
    <w:p>
      <w:pPr>
        <w:spacing w:after="0" w:line="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$4.1 million, respectively was recognized as a liability for the liability-classified RSUs under the 2019 EIP in liability for share-based compensation on the Consolidated Balance Sheet. As of March 31, 2022, there was $7.1 million of total unrecognized compensation expense related to liability-classified RSUs under the 2019 EIP expected to be recognized over a weighted average period of 3.94 years.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2019 EIP for the relevant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Weighted Average</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RSU amounts)</w:t>
            </w:r>
          </w:p>
        </w:tc>
        <w:tc>
          <w:tcPr>
            <w:tcW w:w="10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184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3720" w:type="dxa"/>
            <w:vAlign w:val="bottom"/>
            <w:gridSpan w:val="3"/>
            <w:vMerge w:val="continue"/>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RSUs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RSU</w:t>
            </w:r>
          </w:p>
        </w:tc>
        <w:tc>
          <w:tcPr>
            <w:tcW w:w="1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bottom w:val="single" w:sz="8" w:color="CCEEFF"/>
            </w:tcBorders>
            <w:shd w:val="clear" w:color="auto" w:fill="000000"/>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2020</w:t>
            </w: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2,592,286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10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377,718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2,214,568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0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10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1,310,643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2022</w:t>
            </w:r>
          </w:p>
        </w:tc>
        <w:tc>
          <w:tcPr>
            <w:tcW w:w="10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Expected to vest as of March 31, 2022</w:t>
            </w:r>
          </w:p>
        </w:tc>
        <w:tc>
          <w:tcPr>
            <w:tcW w:w="1800" w:type="dxa"/>
            <w:vAlign w:val="bottom"/>
            <w:gridSpan w:val="2"/>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11.77</w:t>
            </w:r>
          </w:p>
        </w:tc>
        <w:tc>
          <w:tcPr>
            <w:tcW w:w="118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903,925</w:t>
            </w:r>
          </w:p>
        </w:tc>
        <w:tc>
          <w:tcPr>
            <w:tcW w:w="8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gridSpan w:val="2"/>
          </w:tcPr>
          <w:p>
            <w:pPr>
              <w:jc w:val="right"/>
              <w:ind w:right="534"/>
              <w:spacing w:after="0"/>
              <w:rPr>
                <w:sz w:val="20"/>
                <w:szCs w:val="20"/>
                <w:color w:val="auto"/>
              </w:rPr>
            </w:pPr>
            <w:r>
              <w:rPr>
                <w:rFonts w:ascii="Arial" w:cs="Arial" w:eastAsia="Arial" w:hAnsi="Arial"/>
                <w:sz w:val="18"/>
                <w:szCs w:val="18"/>
                <w:color w:val="auto"/>
              </w:rPr>
              <w:t>F-45</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Company did not have any payments for the liability-classified share-based awards for any periods presented. As of March 31, 2022, none of the RSUs under the 2019 EIP have vested.</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the fiscal year ended March 31, 2021, fair value of the RSUs is estimated using a discounted cash flow approach based on the expected value for the Company as a result of a business combination, which was considered likely as of March 31, 2021. The expected payment was discounted using a risk-free rate of return based on the spot yield on U.S. Treasury Bonds with tenor equal to six months.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EIP for the fiscal year ended March 31, 2021:</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Time to transaction (in years)</w:t>
            </w:r>
          </w:p>
        </w:tc>
        <w:tc>
          <w:tcPr>
            <w:tcW w:w="3020" w:type="dxa"/>
            <w:vAlign w:val="bottom"/>
          </w:tcPr>
          <w:p>
            <w:pPr>
              <w:jc w:val="right"/>
              <w:ind w:right="110"/>
              <w:spacing w:after="0"/>
              <w:rPr>
                <w:sz w:val="20"/>
                <w:szCs w:val="20"/>
                <w:color w:val="auto"/>
              </w:rPr>
            </w:pPr>
            <w:r>
              <w:rPr>
                <w:rFonts w:ascii="Arial" w:cs="Arial" w:eastAsia="Arial" w:hAnsi="Arial"/>
                <w:sz w:val="18"/>
                <w:szCs w:val="18"/>
                <w:color w:val="auto"/>
              </w:rPr>
              <w:t>0.5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3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0.9998</w:t>
            </w:r>
          </w:p>
        </w:tc>
      </w:tr>
    </w:tbl>
    <w:p>
      <w:pPr>
        <w:spacing w:after="0" w:line="20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For the fiscal year ended March 31, 2022, the weighted average fair value of the RSUs is measured using the Monte Carlo simulation model. The Monte Carlo methodology incorporates into the valuation all possible outcomes that could result in the vesting of the awards. Where relevant, the expected term used in the model has been adjusted based on Company’s best estimate for the effects of non-transferability and exercise restrictions (including the probability of meeting market conditions attached to the RSUs).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EIP for the fiscal year ended March 31, 2022:</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$39.27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Expected volatility until liquidity event</w:t>
            </w:r>
          </w:p>
        </w:tc>
        <w:tc>
          <w:tcPr>
            <w:tcW w:w="2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event</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Dividend yield</w:t>
            </w:r>
          </w:p>
        </w:tc>
        <w:tc>
          <w:tcPr>
            <w:tcW w:w="26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bl>
    <w:p>
      <w:pPr>
        <w:spacing w:after="0" w:line="20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inputs used for both the discounted cash flow approach and the Monte Carlo simulation model are the same as those used for the 2019 AEP. The fair value of the RSUs is adjusted for the different market conditions for each share-based plan.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Phantom Share Scheme (Cash-Settled)</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April 2017, a cash-settled share-based compensation plan was put in place for certain employees who are members of the Executive Committee of the Company. Under this plan, the employees are granted a cash award annually on April 1, which vests over a three-year service period subject to continuous service and satisfaction of certain Company performance conditions. The cash amount which the employee is entitled to receive if employed at the end of the three-year period is directly linked to the share price of the Company’s ultimate parent, SoftBank. The number of Phantom Shares that vest is also linked to certain Company strategic performance conditions. The strategic performance conditions are non-market-based vesting conditions and, as a result, the conditions do not affect the fair value of Phantom Shares at each reporting date.</w:t>
      </w:r>
    </w:p>
    <w:p>
      <w:pPr>
        <w:spacing w:after="0" w:line="178"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strategic performance conditions are operational in nature and measure performance in areas such as product development, customer design wins and market share across different technologies and markets. The conditions are linked directly to the Company’s strategic objectives, rather than any financial or other measures.</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March 31, 2022 and 2021, the Company was authorized to issue 589,602 and 541,235 Phantom Shares, respectively. As of March 31, 2022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64,862 and 224,268 Phantom Shares, respectively, were outstanding. For the fiscal year ended March 31, 2022 and 2021, $(3.1) million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$11.1 million, respectively, of share-based compensation expense was recognized in connection with the Phantom Shares. The tax expense recorded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Phantom Shares was $0.5 million and tax benefit was $2.3 million for the fiscal years ended March 31, 2022 and 2021, respectively.</w:t>
      </w:r>
    </w:p>
    <w:p>
      <w:pPr>
        <w:spacing w:after="0" w:line="21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of March 31, 2022, $3.0 million was recognized as a liability for the Phantom Shares in liability for share-based compensation on the Consolidated Balance Sheet. As of March 31, 2022, there was $1.0 million of total unrecognized compensation expense related to the liability-classified Phantom Shares expected to be recognized over a weighted average period of 1.36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Phantom Shares activity for all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Weighted Average</w:t>
            </w:r>
          </w:p>
        </w:tc>
        <w:tc>
          <w:tcPr>
            <w:tcW w:w="1900" w:type="dxa"/>
            <w:vAlign w:val="bottom"/>
            <w:gridSpan w:val="4"/>
            <w:vMerge w:val="restart"/>
          </w:tcPr>
          <w:p>
            <w:pPr>
              <w:ind w:left="84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370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jc w:val="right"/>
              <w:ind w:right="53"/>
              <w:spacing w:after="0" w:line="158" w:lineRule="exact"/>
              <w:rPr>
                <w:sz w:val="20"/>
                <w:szCs w:val="20"/>
                <w:color w:val="auto"/>
              </w:rPr>
            </w:pPr>
            <w:r>
              <w:rPr>
                <w:rFonts w:ascii="Arial" w:cs="Arial" w:eastAsia="Arial" w:hAnsi="Arial"/>
                <w:sz w:val="14"/>
                <w:szCs w:val="14"/>
                <w:b w:val="1"/>
                <w:bCs w:val="1"/>
                <w:color w:val="auto"/>
              </w:rPr>
              <w:t>Shares</w:t>
            </w:r>
          </w:p>
        </w:tc>
        <w:tc>
          <w:tcPr>
            <w:tcW w:w="216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Fair Value Per Share</w:t>
            </w:r>
          </w:p>
        </w:tc>
        <w:tc>
          <w:tcPr>
            <w:tcW w:w="1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2020</w:t>
            </w: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211,075</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19.59</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134,076</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84,618</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36,265</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17,844</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32,198</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145,052</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2022</w:t>
            </w:r>
          </w:p>
        </w:tc>
        <w:tc>
          <w:tcPr>
            <w:tcW w:w="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Expected to vest as of March 31, 2022</w:t>
            </w:r>
          </w:p>
        </w:tc>
        <w:tc>
          <w:tcPr>
            <w:tcW w:w="1500" w:type="dxa"/>
            <w:vAlign w:val="bottom"/>
            <w:gridSpan w:val="2"/>
          </w:tcPr>
          <w:p>
            <w:pPr>
              <w:spacing w:after="0" w:line="20" w:lineRule="exact"/>
              <w:rPr>
                <w:sz w:val="1"/>
                <w:szCs w:val="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39.83</w:t>
            </w: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64,862</w:t>
            </w:r>
          </w:p>
        </w:tc>
        <w:tc>
          <w:tcPr>
            <w:tcW w:w="9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Phantom Shares are required to be settled in cash and therefore are recorded on the Consolidated Balance Sheet as a liability until settled. For the fiscal years ended March 31, 2022 and 2021, liability-classified share-based awards paid totaled $7.1 million and $2.6 million, respectively. For the fiscal years ended March 31, 2022 and 2021, the total number of Phantom Shares vested were 32,198 and 84,618, respectively. The fair value of the Phantom Shares vested were $1.5 million and $7.1 million for fiscal years ended March 31, 2022 and March 31, 2021, respectively. As of March 31, 2022, the total amount vested but unpaid was $1.5 million. The fair value of Phantom Shares measured at each reporting date was $39.83 and $58.41 for the fiscal years ended March 31, 2022 and 2021, respectively.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share-based compensation expense recognized on the Consolidated Income Statements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580" w:type="dxa"/>
            <w:vAlign w:val="bottom"/>
            <w:vMerge w:val="restart"/>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Fiscal Years Ended March 31,</w:t>
            </w: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2022</w:t>
            </w:r>
          </w:p>
        </w:tc>
        <w:tc>
          <w:tcPr>
            <w:tcW w:w="1120" w:type="dxa"/>
            <w:vAlign w:val="bottom"/>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2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112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40" w:type="dxa"/>
            <w:vAlign w:val="bottom"/>
            <w:gridSpan w:val="2"/>
          </w:tcPr>
          <w:p>
            <w:pPr>
              <w:jc w:val="right"/>
              <w:ind w:right="1310"/>
              <w:spacing w:after="0"/>
              <w:rPr>
                <w:sz w:val="20"/>
                <w:szCs w:val="20"/>
                <w:color w:val="auto"/>
              </w:rPr>
            </w:pPr>
            <w:r>
              <w:rPr>
                <w:rFonts w:ascii="Arial" w:cs="Arial" w:eastAsia="Arial" w:hAnsi="Arial"/>
                <w:sz w:val="18"/>
                <w:szCs w:val="18"/>
                <w:color w:val="auto"/>
              </w:rPr>
              <w:t>F-47</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share-based compensation expense was capitalized for the fiscal years ended March 31, 2022 and 2021.</w:t>
      </w:r>
    </w:p>
    <w:p>
      <w:pPr>
        <w:spacing w:after="0" w:line="370"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income before provision for income taxes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24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2022</w:t>
            </w:r>
          </w:p>
        </w:tc>
        <w:tc>
          <w:tcPr>
            <w:tcW w:w="10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608</w:t>
            </w:r>
          </w:p>
        </w:tc>
        <w:tc>
          <w:tcPr>
            <w:tcW w:w="10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08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7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786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rPr>
              <w:t>The expense (benefit) for income taxes consists of the following:</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24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2022</w:t>
            </w:r>
          </w:p>
        </w:tc>
        <w:tc>
          <w:tcPr>
            <w:tcW w:w="10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20" w:type="dxa"/>
            <w:vAlign w:val="bottom"/>
          </w:tcPr>
          <w:p>
            <w:pPr>
              <w:spacing w:after="0"/>
              <w:rPr>
                <w:sz w:val="16"/>
                <w:szCs w:val="16"/>
                <w:color w:val="auto"/>
              </w:rPr>
            </w:pPr>
          </w:p>
        </w:tc>
        <w:tc>
          <w:tcPr>
            <w:tcW w:w="4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08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Total current tax expense</w:t>
            </w:r>
          </w:p>
        </w:tc>
        <w:tc>
          <w:tcPr>
            <w:tcW w:w="70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0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tcBorders>
              <w:right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benefit</w:t>
            </w:r>
          </w:p>
        </w:tc>
        <w:tc>
          <w:tcPr>
            <w:tcW w:w="70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w:t>
            </w:r>
          </w:p>
        </w:tc>
        <w:tc>
          <w:tcPr>
            <w:tcW w:w="9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United Kingdom statutory income tax rate to the effective tax rate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9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2022</w:t>
            </w:r>
          </w:p>
        </w:tc>
        <w:tc>
          <w:tcPr>
            <w:tcW w:w="1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Income tax expense (benefit) at statutory rate</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149</w:t>
            </w:r>
          </w:p>
        </w:tc>
        <w:tc>
          <w:tcPr>
            <w:tcW w:w="1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Foreign tax rate differential</w:t>
            </w:r>
          </w:p>
        </w:tc>
        <w:tc>
          <w:tcPr>
            <w:tcW w:w="140" w:type="dxa"/>
            <w:vAlign w:val="bottom"/>
          </w:tcPr>
          <w:p>
            <w:pPr>
              <w:spacing w:after="0"/>
              <w:rPr>
                <w:sz w:val="18"/>
                <w:szCs w:val="18"/>
                <w:color w:val="auto"/>
              </w:rPr>
            </w:pPr>
          </w:p>
        </w:tc>
        <w:tc>
          <w:tcPr>
            <w:tcW w:w="1680" w:type="dxa"/>
            <w:vAlign w:val="bottom"/>
            <w:gridSpan w:val="2"/>
          </w:tcPr>
          <w:p>
            <w:pPr>
              <w:jc w:val="right"/>
              <w:ind w:right="10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8"/>
                <w:szCs w:val="18"/>
                <w:color w:val="auto"/>
              </w:rPr>
            </w:pPr>
          </w:p>
        </w:tc>
        <w:tc>
          <w:tcPr>
            <w:tcW w:w="1680" w:type="dxa"/>
            <w:vAlign w:val="bottom"/>
            <w:gridSpan w:val="2"/>
          </w:tcPr>
          <w:p>
            <w:pPr>
              <w:jc w:val="right"/>
              <w:ind w:right="10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Non-deductible/non-taxable items</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Patent box benefit</w:t>
            </w:r>
          </w:p>
        </w:tc>
        <w:tc>
          <w:tcPr>
            <w:tcW w:w="140" w:type="dxa"/>
            <w:vAlign w:val="bottom"/>
          </w:tcPr>
          <w:p>
            <w:pPr>
              <w:spacing w:after="0"/>
              <w:rPr>
                <w:sz w:val="18"/>
                <w:szCs w:val="18"/>
                <w:color w:val="auto"/>
              </w:rPr>
            </w:pPr>
          </w:p>
        </w:tc>
        <w:tc>
          <w:tcPr>
            <w:tcW w:w="1680" w:type="dxa"/>
            <w:vAlign w:val="bottom"/>
            <w:gridSpan w:val="2"/>
          </w:tcPr>
          <w:p>
            <w:pPr>
              <w:jc w:val="right"/>
              <w:ind w:right="10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UK rate change</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Withholding tax</w:t>
            </w:r>
          </w:p>
        </w:tc>
        <w:tc>
          <w:tcPr>
            <w:tcW w:w="140" w:type="dxa"/>
            <w:vAlign w:val="bottom"/>
          </w:tcPr>
          <w:p>
            <w:pPr>
              <w:spacing w:after="0"/>
              <w:rPr>
                <w:sz w:val="18"/>
                <w:szCs w:val="18"/>
                <w:color w:val="auto"/>
              </w:rPr>
            </w:pPr>
          </w:p>
        </w:tc>
        <w:tc>
          <w:tcPr>
            <w:tcW w:w="1680" w:type="dxa"/>
            <w:vAlign w:val="bottom"/>
            <w:gridSpan w:val="2"/>
          </w:tcPr>
          <w:p>
            <w:pPr>
              <w:jc w:val="right"/>
              <w:ind w:right="1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exempt from UK tax</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 (benefit)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expense reported in the statement of profit and loss</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8"/>
        </w:trPr>
        <w:tc>
          <w:tcPr>
            <w:tcW w:w="57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Income tax expense/(credit) attributable to discontinued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Pr>
          <w:p>
            <w:pPr>
              <w:spacing w:after="0"/>
              <w:rPr>
                <w:sz w:val="20"/>
                <w:szCs w:val="20"/>
                <w:color w:val="auto"/>
              </w:rPr>
            </w:pPr>
          </w:p>
        </w:tc>
        <w:tc>
          <w:tcPr>
            <w:tcW w:w="1680" w:type="dxa"/>
            <w:vAlign w:val="bottom"/>
            <w:gridSpan w:val="2"/>
          </w:tcPr>
          <w:p>
            <w:pPr>
              <w:jc w:val="right"/>
              <w:ind w:right="1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64"/>
        </w:trPr>
        <w:tc>
          <w:tcPr>
            <w:tcW w:w="740" w:type="dxa"/>
            <w:vAlign w:val="bottom"/>
          </w:tcPr>
          <w:p>
            <w:pPr>
              <w:spacing w:after="0"/>
              <w:rPr>
                <w:sz w:val="24"/>
                <w:szCs w:val="24"/>
                <w:color w:val="auto"/>
              </w:rPr>
            </w:pPr>
          </w:p>
        </w:tc>
        <w:tc>
          <w:tcPr>
            <w:tcW w:w="4980" w:type="dxa"/>
            <w:vAlign w:val="bottom"/>
          </w:tcPr>
          <w:p>
            <w:pPr>
              <w:ind w:left="3380"/>
              <w:spacing w:after="0"/>
              <w:rPr>
                <w:sz w:val="20"/>
                <w:szCs w:val="20"/>
                <w:color w:val="auto"/>
              </w:rPr>
            </w:pPr>
            <w:r>
              <w:rPr>
                <w:rFonts w:ascii="Arial" w:cs="Arial" w:eastAsia="Arial" w:hAnsi="Arial"/>
                <w:sz w:val="18"/>
                <w:szCs w:val="18"/>
                <w:color w:val="auto"/>
              </w:rPr>
              <w:t>F-48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reconciliation of the statutory rate to the effective tax rate is performed at the UK current year statutory rate of 19%. In June 2021, legislation was enacted in the U.K. to increase the corporation tax rate to 25% with effect from April 2023.</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Income tax expense was $110 million and $153 million for the fiscal years ended March 31, 2022 and 2021, respectively. Arm’s effective tax rate for the fiscal years ended March 31, 2022 and 2021 was 14% and 22%, respectively. The Company’s effective tax rate decreased by approximately 8% primarily due to significant irrecoverable withholding taxes in the fiscal year ended March 31, 2021 and increased profits qualifying for the U.K. patent box regime in the fiscal year ended March 31, 2022. In the fiscal year ended March 31, 2021, there was a significant release in the Company’s valuation allowance as a result of certain divestiture transactions related to Treasure Data and IoTP.</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components of deferred tax assets and liabilities are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58"/>
        </w:trPr>
        <w:tc>
          <w:tcPr>
            <w:tcW w:w="63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1"/>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liability</w:t>
            </w:r>
          </w:p>
        </w:tc>
        <w:tc>
          <w:tcPr>
            <w:tcW w:w="2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losses and R&amp;D tax credits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Reserves and other liabilities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Arial" w:cs="Arial" w:eastAsia="Arial" w:hAnsi="Arial"/>
                <w:sz w:val="18"/>
                <w:szCs w:val="18"/>
                <w:color w:val="auto"/>
              </w:rPr>
              <w:t>Total gross deferred tax assets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Total deferred tax assets, net of valuation allowance</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Acquired intangibles</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basis differences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liabilities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Net deferred tax liabilities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As of March 31, 2022, the Company had a United Kingdom corporate tax loss carryforward of $88 million ($18 million tax effected) and U.K. R&amp;D Expenditure Credits of $34 million. These tax losses have no expiration date. The Company has United States federal net operating loss carryforwards of approximately $15 million ($3 million tax effected) of which $1 million has no expiration date and $14 million ($3 million tax effected) will expire between fiscal years 2030 and 2037 if not utilized. The Company also has a tax asset in respect of state net operating losses of $114 million ($7 million net of federal benefit) which will expire between fiscal years 2025 and 2040 if not utilized. The Company has U.S. Federal tax credit carryforwards of $79 million which will expire between 2029 and 2041. In addition, the Company has state tax credits of $22 million ($17 million net of federal benefit) with no expiration date.</w:t>
      </w:r>
    </w:p>
    <w:p>
      <w:pPr>
        <w:spacing w:after="0" w:line="19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As of March 31, 2022, the Company has provided a valuation allowance on certain U.K. tax losses. This is based on an analysis of historical taxable income, the projected reversal of deferred tax liabilities, projected taxable income and tax planning strategies. The Company believes, more likely than not, that it will have sufficient taxable income to utilize its remaining deferred tax assets.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Utilization of the United States federal net operating loss and tax credit carryforwards may be subject to annual limitations due to the ownership change limitations provided by the U.S. Internal Revenue Code of 1986, as amended, and similar state provisions. Such annual limitations could result in the expiration of the net operating loss and tax credit carryforwards before their utilization. The events that may cause ownership changes include, but are not limited to, a cumulative stock ownership change of greater than 50% over a three-year period.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2022, the Company intends to indefinitely reinvest approximately $154 million of cumulative undistributed earnings of its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 The unrecognized deferred tax liability for temporary differences related to these investments is not material.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reflects changes in the gross unrecognized tax benefits: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unrecognized tax benefits—April 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Gross increases—tax positions in prior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decreases—tax positions in prior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Gross increases—tax positions in current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right"/>
              <w:ind w:right="12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Lapse of statute of limitations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right"/>
              <w:ind w:right="13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Gross unrecognized tax benefits—March 31</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2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Included in the balance of unrecognized tax benefits as of March 31, 2022 and 2021 are $44 million and $65 million, respectively, of tax benefits that, if recognized, would affect the effective tax rate.</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recognizes interest accrued related to unrecognized tax benefits and penalties as income tax expense. The Company recognized expense of $0.7 million and $8.0 million for interest and penalties associated to income tax liabilities as of March 31, 2022 and 2021, respectively. As of March 31, 2022 and 2021, the Company had total accrued interest and penalties of $15.8 million and $15.5 million, respectively, which is included in other non-current liabilities on the Consolidated Balance Sheet.</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While the Company believes it has adequately provided for all tax positions, amounts asserted by tax authorities could be greater or less than the position. Accordingly, provisions on federal, state and foreign tax-related matters to be recorded in the future may change as revised estimates are made or the underlying matters are settled or otherwise resolved. As of March 31, 2022, the Company has not identified any positions for which it is reasonably possible that the total amounts of unrecognized tax benefits will significantly increase or decrease within the next twelve months.</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is subject to taxation in the United Kingdom and various states and foreign jurisdictions. As of March 31, 2022, the Company is no longer subject to examination by the United Kingdom tax authorities for the fiscal years ended March 31, 2018 or earlier. U.S. Federal returns for the calendar year ended December 31, 2003 and later periods are subject to audit with the exception of the calendar years ended December 31, 2010 to December 31, 2012 and December 31, 2015 and December 31, 2016.</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a reconciliation of basic and diluted earnings per share computations for all periods presented: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100" w:type="dxa"/>
            <w:vAlign w:val="bottom"/>
          </w:tcPr>
          <w:p>
            <w:pPr>
              <w:spacing w:after="0"/>
              <w:rPr>
                <w:sz w:val="14"/>
                <w:szCs w:val="14"/>
                <w:color w:val="auto"/>
              </w:rPr>
            </w:pPr>
          </w:p>
        </w:tc>
        <w:tc>
          <w:tcPr>
            <w:tcW w:w="33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28"/>
        </w:trPr>
        <w:tc>
          <w:tcPr>
            <w:tcW w:w="666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32"/>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Income (loss) attributable to ordinary shareholders—basic and diluted</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66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676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outstanding—basic and diluted</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1,025,234,000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1,025,234,000</w:t>
            </w:r>
          </w:p>
        </w:tc>
        <w:tc>
          <w:tcPr>
            <w:tcW w:w="0" w:type="dxa"/>
            <w:vAlign w:val="bottom"/>
          </w:tcPr>
          <w:p>
            <w:pPr>
              <w:spacing w:after="0"/>
              <w:rPr>
                <w:sz w:val="1"/>
                <w:szCs w:val="1"/>
                <w:color w:val="auto"/>
              </w:rPr>
            </w:pPr>
          </w:p>
        </w:tc>
      </w:tr>
      <w:tr>
        <w:trPr>
          <w:trHeight w:val="306"/>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Income (loss) per share attributable to ordinary shareholders—basic and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gridSpan w:val="2"/>
          </w:tcPr>
          <w:p>
            <w:pPr>
              <w:ind w:left="160"/>
              <w:spacing w:after="0"/>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tcPr>
          <w:p>
            <w:pPr>
              <w:spacing w:after="0"/>
              <w:rPr>
                <w:sz w:val="19"/>
                <w:szCs w:val="19"/>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(0.12)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Securities that would have been anti-dilutive were excluded from the computation of diluted earnings per share for all periods presented. The following securities were not included in the computation of diluted shares outstanding primarily because for all reporting periods a change in control or an IPO was not probable to occur under GAAP, and therefore, settlement of securities is expected in cash upon the passage of time.</w:t>
      </w:r>
    </w:p>
    <w:p>
      <w:pPr>
        <w:spacing w:after="0" w:line="184"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6350</wp:posOffset>
            </wp:positionV>
            <wp:extent cx="20148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ind w:left="8020"/>
        <w:spacing w:after="0"/>
        <w:tabs>
          <w:tab w:leader="none" w:pos="97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tbl>
      <w:tblPr>
        <w:tblLayout w:type="fixed"/>
        <w:tblInd w:w="560" w:type="dxa"/>
        <w:tblCellMar>
          <w:top w:w="0" w:type="dxa"/>
          <w:left w:w="0" w:type="dxa"/>
          <w:bottom w:w="0" w:type="dxa"/>
          <w:right w:w="0" w:type="dxa"/>
        </w:tblCellMar>
      </w:tblPr>
      <w:tr>
        <w:trPr>
          <w:trHeight w:val="210"/>
        </w:trPr>
        <w:tc>
          <w:tcPr>
            <w:tcW w:w="68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Restricted Stock Units </w:t>
            </w:r>
            <w:r>
              <w:rPr>
                <w:rFonts w:ascii="Arial" w:cs="Arial" w:eastAsia="Arial" w:hAnsi="Arial"/>
                <w:sz w:val="24"/>
                <w:szCs w:val="24"/>
                <w:color w:val="auto"/>
                <w:vertAlign w:val="superscript"/>
              </w:rPr>
              <w:t>(1)</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14,230,025</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17,612,777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42" w:lineRule="exact"/>
        <w:rPr>
          <w:sz w:val="20"/>
          <w:szCs w:val="20"/>
          <w:color w:val="auto"/>
        </w:rPr>
      </w:pPr>
    </w:p>
    <w:p>
      <w:pPr>
        <w:ind w:left="540" w:right="760" w:hanging="424"/>
        <w:spacing w:after="0" w:line="277"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Total RSUs presented include amounts associated with discontinued operations but exclude certain Arm Israel RSUs which require cash settlement and do not allow for share settlement.</w:t>
      </w:r>
    </w:p>
    <w:p>
      <w:pPr>
        <w:spacing w:after="0" w:line="315"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From time to time, the Company is party to litigation and other legal proceedings in the ordinary course of business. While the results of any litigation or other legal proceedings are uncertain, management does not believe the ultimate resolution of any pending legal matters is likely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No material amounts related to litigation settlements were recognized for any periods presented.</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March 2022, a wholly owned United Kingdom subsidiary of SoftBank, Kronos I (UK) Limited (“Kronos”), was created for the purpose of SoftBank arranging a non-recourse facility agreement (the “Facility Agreement”) with J.P. Morgan SE as Facility Agent to be secured by its 75.01% equity interest in the Company. SoftBank pledged its ownership interest in the Company by transferring such interest to an entity that sits between Kronos and the Company, and SoftBank has no further obligation under the Facility Agreement. The Company is in compliance with all applicable operating and financial covenants pursuant to the Facility Agreement for the fiscal years presented.</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Under the Facility Agreement, the lenders initially were committed to make up to $8.0 billion of funds available to Kronos under a “Bridge Facility” and “Term Facility” (together with the Bridge Facility, the “Facility”). In March 2022, the Term Facility was funded for $7.1 billion and the Bridge Facility was funded for $0.9 billion.</w:t>
      </w:r>
    </w:p>
    <w:p>
      <w:pPr>
        <w:spacing w:after="0" w:line="184"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After the reporting period but prior to issuance of the consolidated financial statements, in June 2022, an amendment was executed which expanded the total commitment of the Term Facility to $8.5 billion via an additional term facility of $1.4 billion, $0.9 billion of which was used to repay the Bridge Facility in full with the remaining $0.5 billion representing incremental debt. The Term Facility matures on the earlier of two years after Kronos draws upon the facility or three months after the effective date of a public listing of the Company’s ordinary shares.</w:t>
      </w:r>
    </w:p>
    <w:p>
      <w:pPr>
        <w:spacing w:after="0" w:line="17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Beyond the pledge of the 75.01% interest in the Company as collateral for the Facility, in March 2022, the Company entered into the Arm Undertaking (the “Undertaking”) to confirm and agree to comply with certain terms of the Facility Agreement (including operational restrictions) and a springing guarantee and indemnity agreement (the “Guarantee”) with J.P. Morgan SE. The Guarantee commences upon an "Arm Guarantee Trigger Event," which includes a public listing of the Company’s ordinary shares not occurring within 18 months of the closing date of the Facility or any public announcement or notice to lenders that a listing will not be undertaken and failure by the Company or its subsidiaries to comply with the obligations under the Undertaking. Until an Arm Guarantee Trigger Event occurs, the Company is not obligated to perform or make payment on the obligations of Kronos.</w:t>
      </w:r>
    </w:p>
    <w:p>
      <w:pPr>
        <w:spacing w:after="0" w:line="16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Once an Arm Guarantee Trigger Event has occurred, the Company guarantees all overdue payments under the Facility Agreement. The total commitment is $8.5 billion and would only become a potential obligation to the Company if Kronos were to default on any such obligation, as Kronos remains the primary obligor under the Facility Agreement even after an Arm Guarantee Trigger Event. Upon default, the lenders can satisfy their claim either through the collateral of 75.01% interest in the Company or through the Company servicing the debt and meeting payment obligations pursuant to the Guarantee. SoftBank as the owner of Kronos may avoid default by restructuring the Facility Agreement, or otherwise monetizing the collateral for the necessary liquidity to meet payment obligations under the Facility Agreement. The Company believes that the likelihood of assuming the debt obligations under the Guarantee is remote due to Kronos’ significant collateralization of the obligations under the Facility Agreement and that Softbank will avoid a default by Kronos for which the obligations would become enforceable against the Company.</w:t>
      </w:r>
    </w:p>
    <w:p>
      <w:pPr>
        <w:spacing w:after="0" w:line="16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the Company’s potential obligation is an issued Guarantee to the lenders for obligations of Kronos, an entity under common control, the Company is not required to recognize the Guarantee.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Benefits Plans</w:t>
      </w:r>
    </w:p>
    <w:p>
      <w:pPr>
        <w:spacing w:after="0" w:line="12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Company contributes to defined contribution plans substantially covering all employees in Europe and the United States, and to government pension plans for employees in Japan, South Korea, Taiwan, Peoples Republic of China, Israel and India. The Company contributes to these plans based upon various fixed percentages of employee compensation, and such contributions are expensed as incurred.</w:t>
      </w:r>
    </w:p>
    <w:p>
      <w:pPr>
        <w:spacing w:after="0" w:line="16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For the fiscal years ended March 31, 2022 and 2021, $77.0 million and $67.6 million, respectively, was recorded in the Consolidated Income Statement related to contributions payable to these plans by the Company at rates specified in the rules of the plans. As of March 31, 2022, $9.3 million of contributions due had not been paid over to the plans and was recorded in accrued compensation and benefits on the Consolidated Balance Sheet.</w:t>
      </w:r>
    </w:p>
    <w:p>
      <w:pPr>
        <w:spacing w:after="0" w:line="293"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China and Acetone Limited</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Subsequent to the restructuring of its direct investment in Arm China, the Company has a 10% non-voting ownership interest in Acetone Limited, whose primary asset is a 48.18% interest in Arm China. The Company has no direct material transactions with Acetone Limited.</w:t>
      </w:r>
    </w:p>
    <w:p>
      <w:pPr>
        <w:spacing w:after="0" w:line="170"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For the fiscal years ended March 31, 2022 and 2021, the Company recognized revenue of $474.2 million and $413.1 million, respectively under the terms of the IPLA and recognized expenses of $63.5 million and $52.7 million, respectively under a service share arrangement with Arm China.</w:t>
      </w:r>
    </w:p>
    <w:p>
      <w:pPr>
        <w:spacing w:after="0" w:line="12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leases certain assets to Arm China. For the fiscal years ended March 31, 2022 and 2021, the Company recognized rental income of $1.6 million and $1.0 million, respectively, from this lease arrangement.</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of March 31, 2022, the Company had a net receivable of $574.3 million ($602.2 million receivable less $27.9 million payable) from Arm China. As of March 31, 2022, the Company had contract liabilities of $122.4 million relating to Arm China.</w:t>
      </w:r>
    </w:p>
    <w:p>
      <w:pPr>
        <w:spacing w:after="0" w:line="170"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Equity Investments,</w:t>
      </w:r>
      <w:r>
        <w:rPr>
          <w:rFonts w:ascii="Arial" w:cs="Arial" w:eastAsia="Arial" w:hAnsi="Arial"/>
          <w:sz w:val="18"/>
          <w:szCs w:val="18"/>
          <w:color w:val="auto"/>
        </w:rPr>
        <w:t xml:space="preserve"> for discussion of the impact of Arm China on the Company’s results, and the distribution of the Company’s shareholding in Arm China to the owners of the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entities related by virtue of common control in SoftBank</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 also had other revenue and expense transactions, along with receivable and balances with other entities by virtue of common control in SoftBank. For the fiscal years ended March 31, 2022 and 2021, the Company recognized revenue of $1.5 million and zero, respectively, and expenses of $1.7 million and $0.2 million, respectively. As of March 31, 2022, the Company had accounts receivable and other receivables of $2.1 million and $12.0 million, respectively. The Company also had immaterial lessee leases with a certain related party by virtue of common control in SoftBank.</w:t>
      </w:r>
    </w:p>
    <w:p>
      <w:pPr>
        <w:spacing w:after="0" w:line="15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For the fiscal years ended March 31, 2022 and 2021, from discontinued operations, the Company recognized revenue of $3.6 million and $8.3 million and expenses of $0.2 million and $5.4 million, respectively.</w:t>
      </w:r>
    </w:p>
    <w:p>
      <w:pPr>
        <w:spacing w:after="0" w:line="170"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Prior to the distribution of Treasure Data in June 2021, a loan of $50.0 million was issued by SoftBank Vision Fund II, a member of SoftBank to Treasure Data. Interest on this loan balance was charged at 2.0% per annum. The loan balance, including accrued interest, was included in the distribution to shareholders of the Company.</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discussion regarding the distribution of Treasure Data and the sale of IoTP by the Company to SoftBank in the fiscal year ended March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Non-Recourse Facility</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In March 2022, Kronos entered into the Facility Agreement which is secured by its 75.01% interest in the Company. The Company also entered into the Undertaking to confirm and agree to comply with the terms of the Facility Agreement and a Guarantee of the obligations under the Facility Agreement owed by Kronos, an entity under common control of SoftBank. Under the terms of the Guarantee, upon an Arm Guarantee Trigger Event, the Guarantee springs into effect, such that any future payment default by Kronos following such date may require performance by the Company if not settled by use of the share collateral or otherwise restructured. Refer to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further details on this Guarantee. The Guarantee does not spring into effect if a public listing has become effective, and if a public listing takes place after the Guarantee has become effective, the Guarantee terminates.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equity 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has revenue transactions, along with receivable and contract liability balances for certain other equity investees, for which the Company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has significant influence. For the fiscal years ended March 31, 2022 and 2021, the Company recognized revenue of $8.5 million and $34.8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respectively. As of March 31, 2022, the Company had accounts receivable, contract assets and contract liabilities of $7.4 million, $0.5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$15.5 million, respectively. For the fiscal years ended March 31, 2022 and 2021, the Company recognized aggregate distributions and dividends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equity investments of $1.9 million and $5.0 million, respectively.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Linaro Limited</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Linaro Limited (“Linaro”) is a not-for-profit entity for which the Company is a member and exhibits significant influence. For the fiscal years ended March 31, 2022 and 2021, the Company incurred subscription costs of $7.9 million and $8.4 million, respectively, from Linaro. As of March 31, 2022, no amount was owed to Linaro. In the fiscal year ended March 31, 2021, the Company earned fees of $1.3 million for providing consulting and other services to Linaro. All fees have been charged in accordance with the terms of the agreement. As of March 31, 2022, no amount was owed to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to related parties</w:t>
      </w:r>
    </w:p>
    <w:p>
      <w:pPr>
        <w:spacing w:after="0" w:line="117"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The Company’s equity investment in Trustonic Limited was written down to zero carrying value due to recognition of the Company’s share of losses. Accordingly, the Company’s subsequent share of losses has been written off against the loan balance due from Trustonic Limited. For the fiscal year ended March 31, 2022, the loan balance was written down to zero, through a combination of impairment and losses recognized.</w:t>
      </w:r>
    </w:p>
    <w:p>
      <w:pPr>
        <w:spacing w:after="0" w:line="16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 xml:space="preserve">As of March 31, 2022, the Company had a loan receivable of $23.0 million with Arduino, a related party, which was impaired in full in the fiscal year ended March 31, 2021. As of March 31, 2022, the Company also had a loan receivable of $3.0 million with Cerfe Labs, Inc., a related party. Refer to Note 11,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for further information regarding this loan. As of March 31, 2022, the Company also had a convertible loan receivable of $29.0 million with Ampere, a related party. Refer to Note 12, </w:t>
      </w:r>
      <w:r>
        <w:rPr>
          <w:rFonts w:ascii="Arial" w:cs="Arial" w:eastAsia="Arial" w:hAnsi="Arial"/>
          <w:sz w:val="17"/>
          <w:szCs w:val="17"/>
          <w:i w:val="1"/>
          <w:iCs w:val="1"/>
          <w:color w:val="auto"/>
        </w:rPr>
        <w:t>Fair Value</w:t>
      </w:r>
      <w:r>
        <w:rPr>
          <w:rFonts w:ascii="Arial" w:cs="Arial" w:eastAsia="Arial" w:hAnsi="Arial"/>
          <w:sz w:val="17"/>
          <w:szCs w:val="17"/>
          <w:color w:val="auto"/>
        </w:rPr>
        <w:t>, for further information regarding this loan.</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80"/>
          </w:cols>
          <w:pgMar w:left="320" w:top="459" w:right="49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has determined its Chief Executive Officer is its chief operating decision maker. The Company’s Chief Executive Officer reviews financial information presented on a consolidated basis for purposes of assessing performance and making resource allocation decisions. Accordingly, the Company has determined that it operates as a single operating and reportable segment.</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Revenue by geographic region is allocated to individual countries based on the principal headquarter of the customers. The geographical locations are not necessarily indicative of the country in which the customer sells products containing the Company’s technology IP. The following table summarizes information pertaining to revenue from customers based on the principal headquarter address by geographic regions: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ind w:left="18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51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1,243</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PRC</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Republic of Korea</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For the fiscal year ended March 31, 2022, the Company had three customers that collectively represented 42% of total revenue, with the single largest customer accounting for 18% of total revenue (20% for the fiscal year ended March 31, 2021), the second largest customer accounting for 12% of total revenue (12% for the fiscal year ended March 31, 2021) and the third largest customer accounting for 12% of total revenue (10% for the fiscal year ended March 31, 2021). No other customer represented 10% or more of total revenue for all periods presented.</w:t>
      </w:r>
    </w:p>
    <w:p>
      <w:pPr>
        <w:spacing w:after="0" w:line="17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Arm China represented 54% of total receivables as of March 31, 2022. No other customer represented 10% or more of receivables for the period presented. Of the $602.2 million balance due from Arm China, $601 million was collected by the end of March 2023.</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Long-lived assets by geographic area are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w w:val="96"/>
              </w:rPr>
              <w:t>As of March 31, 2022</w:t>
            </w: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has evaluated subsequent events through April 28, 2023, the date the consolidated financial statements were available to be issued.</w:t>
      </w:r>
    </w:p>
    <w:p>
      <w:pPr>
        <w:spacing w:after="0" w:line="24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April 2022, the Company, HOPU Investment Management Company and SoftBank, acting in their capacity as direct and indirect shareholders holding a majority equity interest in Arm China, announced that the Company’s longstanding corporate governance issue had been resolved following a unanimous vote by the Arm China’s Board of Directors.</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60"/>
          </w:cols>
          <w:pgMar w:left="320" w:top="459" w:right="51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In June 2022, the Company adopted the 2022 RSU Plan to grant 17,905,331 RSUs to all employees. The RSUs require continuous service through the vesting date and vest upon the passage of time. The Company may choose to settle such RSUs in cash or in shares by tranche.</w:t>
      </w:r>
    </w:p>
    <w:p>
      <w:pPr>
        <w:spacing w:after="0" w:line="14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November 2022, the Company issued two types of Executive Awards under the 2022 RSU Plan to certain members of the Company’s Executive Committee, referred to as Annual Awards and One-time Launch Awards. The Executive Awards entitle executive officers to a fixed amount of cash or, after initial public offering, ordinary shares. Annual awards consist of a portion only subject to time-based vesting and a portion subject to performance-based and time-based vesting conditions. These awards were granted at a value of $22.3 million. One-time Launch awards are only subject to time-based vesting conditions and were granted at a value of $24.7 million.</w:t>
      </w:r>
    </w:p>
    <w:p>
      <w:pPr>
        <w:spacing w:after="0" w:line="188"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Company also granted Executive Awards with customized vesting schedules to certain executive officers. The Customized executive awards will vest upon, (1) the occurrence of one of various liquidity events comprising a change in control of the Company, (2) an IPO, and (3) the passage of time. These awards are settled at the fixed collective cash amount of $55.0 million prior to the occurrence of a liquidity event.</w:t>
      </w:r>
    </w:p>
    <w:p>
      <w:pPr>
        <w:spacing w:after="0" w:line="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80"/>
          </w:cols>
          <w:pgMar w:left="320" w:top="459" w:right="49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American Depositary Shares</w:t>
      </w:r>
    </w:p>
    <w:p>
      <w:pPr>
        <w:spacing w:after="0" w:line="36" w:lineRule="exact"/>
        <w:rPr>
          <w:sz w:val="20"/>
          <w:szCs w:val="20"/>
          <w:color w:val="auto"/>
        </w:rPr>
      </w:pPr>
    </w:p>
    <w:p>
      <w:pPr>
        <w:ind w:left="3040"/>
        <w:spacing w:after="0"/>
        <w:tabs>
          <w:tab w:leader="none" w:pos="6040" w:val="left"/>
        </w:tabs>
        <w:rPr>
          <w:sz w:val="20"/>
          <w:szCs w:val="20"/>
          <w:color w:val="auto"/>
        </w:rPr>
      </w:pPr>
      <w:r>
        <w:rPr>
          <w:rFonts w:ascii="Arial" w:cs="Arial" w:eastAsia="Arial" w:hAnsi="Arial"/>
          <w:sz w:val="29"/>
          <w:szCs w:val="29"/>
          <w:b w:val="1"/>
          <w:bCs w:val="1"/>
          <w:color w:val="auto"/>
        </w:rPr>
        <w:t>(Representing</w:t>
      </w:r>
      <w:r>
        <w:rPr>
          <w:sz w:val="20"/>
          <w:szCs w:val="20"/>
          <w:color w:val="auto"/>
        </w:rPr>
        <w:tab/>
      </w: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2788920</wp:posOffset>
            </wp:positionV>
            <wp:extent cx="1474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1057275</wp:posOffset>
            </wp:positionV>
            <wp:extent cx="1894205" cy="6083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89420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Joint Book-Running Managers*</w:t>
      </w:r>
    </w:p>
    <w:p>
      <w:pPr>
        <w:spacing w:after="0" w:line="99"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Barclays</w:t>
      </w:r>
    </w:p>
    <w:p>
      <w:pPr>
        <w:spacing w:after="0" w:line="112"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Mizuho</w:t>
      </w:r>
    </w:p>
    <w:p>
      <w:pPr>
        <w:spacing w:after="0" w:line="13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*In alphabetical order</w:t>
      </w:r>
    </w:p>
    <w:p>
      <w:pPr>
        <w:spacing w:after="0" w:line="200" w:lineRule="exact"/>
        <w:rPr>
          <w:sz w:val="20"/>
          <w:szCs w:val="20"/>
          <w:color w:val="auto"/>
        </w:rPr>
      </w:pP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auto"/>
        </w:rPr>
        <w:t>Through and including , 2023 (the 25th day after the date of this prospectus), all the dealers effecting transactions in the ADSs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386080</wp:posOffset>
            </wp:positionV>
            <wp:extent cx="69951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760"/>
          </w:cols>
          <w:pgMar w:left="320" w:top="459" w:right="81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Subject to the provisions of the Companies Act, but without prejudice to any indemnity to which the person concerned may otherwise be entitled, every director, former director and secretary of the Company (the “Relevant Officer”) shall have the benefit of the following indemnification provisions in the Articles against any liability incurred by or attaching to them (and including all costs, charges, losses, expenses and liabilities incurred by them in relation thereto), provided that the Articles shall be deemed not to provide for, or entitle any such person to, indemnification to the extent that it would cause the Articles, or any element of them, to be treated as void under the Companies Act:</w:t>
      </w:r>
    </w:p>
    <w:p>
      <w:pPr>
        <w:spacing w:after="0" w:line="82" w:lineRule="exact"/>
        <w:rPr>
          <w:sz w:val="20"/>
          <w:szCs w:val="20"/>
          <w:color w:val="auto"/>
        </w:rPr>
      </w:pPr>
    </w:p>
    <w:p>
      <w:pPr>
        <w:ind w:left="1080" w:hanging="424"/>
        <w:spacing w:after="0" w:line="272" w:lineRule="auto"/>
        <w:tabs>
          <w:tab w:leader="none" w:pos="10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 connection with any negligence, default, breach of duty or breach of trust by them in relation to the Company or any associated company (as defined in section 256 of the Companies Act) thereof, other than: (i) any liability incurred to the Company or any associated company thereof; (ii) the payment of a fine imposed in any criminal proceeding or a sum payable to a regulatory authority by way of a penalty in respect of non-compliance with any requirement of a regulatory nature (however arising); (iii) the defense of any criminal proceeding if the Relevant Officer is convicted, (iv) the defense of any civil proceeding brought by the Company or its associated company in which judgment is given against the Relevant Officer; and (v) any application for relief under sections 661(3), 661(4) or 1157 of the Companies Act in which the court refuses to grant relief to the Relevant Officer; and</w:t>
      </w:r>
    </w:p>
    <w:p>
      <w:pPr>
        <w:spacing w:after="0" w:line="82" w:lineRule="exact"/>
        <w:rPr>
          <w:rFonts w:ascii="Arial" w:cs="Arial" w:eastAsia="Arial" w:hAnsi="Arial"/>
          <w:sz w:val="17"/>
          <w:szCs w:val="17"/>
          <w:color w:val="auto"/>
        </w:rPr>
      </w:pPr>
    </w:p>
    <w:p>
      <w:pPr>
        <w:ind w:left="1080" w:right="120" w:hanging="424"/>
        <w:spacing w:after="0" w:line="301"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relation to or in connection with their duties, powers or office, including in connection with the activities of the Company or an associated company thereof in their capacity as a trustee of an occupational pension scheme, other than: (i) the payment of a fine imposed in any criminal proceeding or a sum payable to a regulatory authority by way of a penalty in respect of non-compliance with any requirement of a regulatory nature (however arising); and (ii) the defense of any criminal proceeding if the Relevant Officer is convicted.</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Subject to the provisions of the Companies Act, the Company may provide any Relevant Officer with funds to meet expenditures incurred or to be incurred by them: (i) in defending any criminal or civil proceedings in connection with any negligence, default, breach of duty or breach of trust by them in relation to the Company or an associated company thereof, or (ii) in connection with any application for relief under the provisions mentioned in section 205 of the Companies Act and otherwise may take any action to enable any such Relevant Officer to avoid incurring such expenditure. Relevant Officers who have received payment from the Company under the relevant indemnification provisions must repay the amount they received in accordance with the Companies Act or in any other circumstances that the Company may prescribe or where the Company has reserved the right to require repayment.</w:t>
      </w:r>
    </w:p>
    <w:p>
      <w:pPr>
        <w:spacing w:after="0" w:line="19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underwriting agreement that the Company will enter into in connection with the offering of ADSs being registered hereby provides that the underwriters will indemnify, under certain conditions, the Relevant Officers of the Company against certain liabilities arising in connection with this offering.</w:t>
      </w:r>
    </w:p>
    <w:p>
      <w:pPr>
        <w:spacing w:after="0" w:line="20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issued and sold the following securities:</w:t>
      </w:r>
    </w:p>
    <w:p>
      <w:pPr>
        <w:spacing w:after="0" w:line="225"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Since April 1, 2020, we have granted certain employees an aggregate of 1,524,917 RSUs under the 2019 AEP, certain executive officers an aggregate of 192,900 RSUs under the 2019 EIP, certain employees an aggregate of 16,819,839 RSUs under the 2022 RSU Plan and certain of our non-executive directors an aggregate of 13,340 RSUs under the NED Plan.</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340" w:firstLine="440"/>
        <w:spacing w:after="0" w:line="291" w:lineRule="auto"/>
        <w:rPr>
          <w:sz w:val="20"/>
          <w:szCs w:val="20"/>
          <w:color w:val="auto"/>
        </w:rPr>
      </w:pPr>
      <w:r>
        <w:rPr>
          <w:rFonts w:ascii="Arial" w:cs="Arial" w:eastAsia="Arial" w:hAnsi="Arial"/>
          <w:sz w:val="16"/>
          <w:szCs w:val="16"/>
          <w:color w:val="auto"/>
        </w:rPr>
        <w:t>Unless otherwise stated, the issuances of the above securities were deemed to be exempt from registration under the Securities Act in reliance upon (i) Section 4(a)(2) of the Securities Act or Regulation D promulgated thereunder as transactions by an issuer not involving any public offering,</w:t>
      </w:r>
    </w:p>
    <w:p>
      <w:pPr>
        <w:ind w:left="120" w:right="140" w:hanging="4"/>
        <w:spacing w:after="0" w:line="255" w:lineRule="auto"/>
        <w:tabs>
          <w:tab w:leader="none" w:pos="3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under Regulation S promulgated under the Securities Act as offers, sales and issuances were not made to persons in the U.S. and no directed selling efforts were made in the U.S., or (iii) under Rule 701 promulgated under the Securities Act as transactions pursuant to benefit plans and contracts relating to compensation.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Exhibits</w:t>
            </w:r>
          </w:p>
        </w:tc>
        <w:tc>
          <w:tcPr>
            <w:tcW w:w="440" w:type="dxa"/>
            <w:vAlign w:val="bottom"/>
          </w:tcPr>
          <w:p>
            <w:pPr>
              <w:spacing w:after="0"/>
              <w:rPr>
                <w:sz w:val="24"/>
                <w:szCs w:val="24"/>
                <w:color w:val="auto"/>
              </w:rPr>
            </w:pPr>
          </w:p>
        </w:tc>
        <w:tc>
          <w:tcPr>
            <w:tcW w:w="9780" w:type="dxa"/>
            <w:vAlign w:val="bottom"/>
          </w:tcPr>
          <w:p>
            <w:pPr>
              <w:spacing w:after="0"/>
              <w:rPr>
                <w:sz w:val="24"/>
                <w:szCs w:val="24"/>
                <w:color w:val="auto"/>
              </w:rPr>
            </w:pPr>
          </w:p>
        </w:tc>
      </w:tr>
      <w:tr>
        <w:trPr>
          <w:trHeight w:val="373"/>
        </w:trPr>
        <w:tc>
          <w:tcPr>
            <w:tcW w:w="80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440" w:type="dxa"/>
            <w:vAlign w:val="bottom"/>
          </w:tcPr>
          <w:p>
            <w:pPr>
              <w:spacing w:after="0"/>
              <w:rPr>
                <w:sz w:val="24"/>
                <w:szCs w:val="24"/>
                <w:color w:val="auto"/>
              </w:rPr>
            </w:pPr>
          </w:p>
        </w:tc>
        <w:tc>
          <w:tcPr>
            <w:tcW w:w="9780" w:type="dxa"/>
            <w:vAlign w:val="bottom"/>
          </w:tcPr>
          <w:p>
            <w:pPr>
              <w:spacing w:after="0"/>
              <w:rPr>
                <w:sz w:val="24"/>
                <w:szCs w:val="24"/>
                <w:color w:val="auto"/>
              </w:rPr>
            </w:pPr>
          </w:p>
        </w:tc>
      </w:tr>
      <w:tr>
        <w:trPr>
          <w:trHeight w:val="174"/>
        </w:trPr>
        <w:tc>
          <w:tcPr>
            <w:tcW w:w="80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440" w:type="dxa"/>
            <w:vAlign w:val="bottom"/>
          </w:tcPr>
          <w:p>
            <w:pPr>
              <w:spacing w:after="0"/>
              <w:rPr>
                <w:sz w:val="15"/>
                <w:szCs w:val="15"/>
                <w:color w:val="auto"/>
              </w:rPr>
            </w:pPr>
          </w:p>
        </w:tc>
        <w:tc>
          <w:tcPr>
            <w:tcW w:w="9780" w:type="dxa"/>
            <w:vAlign w:val="bottom"/>
          </w:tcPr>
          <w:p>
            <w:pPr>
              <w:ind w:left="4240"/>
              <w:spacing w:after="0"/>
              <w:rPr>
                <w:sz w:val="20"/>
                <w:szCs w:val="20"/>
                <w:color w:val="auto"/>
              </w:rPr>
            </w:pPr>
            <w:r>
              <w:rPr>
                <w:rFonts w:ascii="Arial" w:cs="Arial" w:eastAsia="Arial" w:hAnsi="Arial"/>
                <w:sz w:val="14"/>
                <w:szCs w:val="14"/>
                <w:color w:val="auto"/>
              </w:rPr>
              <w:t>Description of Exhibit</w:t>
            </w:r>
          </w:p>
        </w:tc>
      </w:tr>
      <w:tr>
        <w:trPr>
          <w:trHeight w:val="311"/>
        </w:trPr>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Articles of Association, as amended.</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Form of Articles of Association to become effective upon the closing of this offering.</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Form of Deposit Agreement.</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Form of American Depositary Receipt (included in exhibit 4.1).</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Opinion of Morrison &amp; Foerster (UK) LLP.</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Opinion of Morrison &amp; Foerster LLP.</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10.1*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Arm IP License Agreement, dated April 24, 2018, by and between Arm Limited and Arm Technology (China) Co. Ltd.</w:t>
            </w:r>
          </w:p>
        </w:tc>
      </w:tr>
      <w:tr>
        <w:trPr>
          <w:trHeight w:val="324"/>
        </w:trPr>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10.2*#</w:t>
            </w: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The 2023 Omnibus Incentive Plan.</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21.1*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Consent of Deloitte &amp; Touche LLP, the Registrant’s independent registered public accounting firm.</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23.2*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Consent of Morrison &amp; Foerster (UK) LLP (included in Exhibit 5.1).</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23.3*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Consent of Morrison &amp; Foerster LLP (included in Exhibit 5.2).</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24.1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Power of Attorney (included on signature page to this registration statement).</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hanging="424"/>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None. All schedules have been omitted because the information required to be set forth therein is not applicable or has been included in the consolidated financial statements and notes thereto.</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or otherwise, the Registrant has been informed that in the opinion of the SEC such indemnification is against public policy as expressed in</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Securities Act, and is, therefore, unenforceable. In the event that a claim for indemnification against such liabilities (other than the payment by the Registrant of expenses incurred or paid by a director, officer or person controlling the Registrant in the successful defense of any action, suit or proceeding) is asserted by such director, officer or person controlling the Registrant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80" w:hanging="532"/>
        <w:spacing w:after="0" w:line="291"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right="580"/>
        <w:spacing w:after="0" w:line="260" w:lineRule="auto"/>
        <w:rPr>
          <w:rFonts w:ascii="Arial" w:cs="Arial" w:eastAsia="Arial" w:hAnsi="Arial"/>
          <w:sz w:val="16"/>
          <w:szCs w:val="16"/>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90"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12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w w:val="98"/>
              </w:rPr>
              <w:t>authorized, in the City of Cambridge, United Kingdom on</w:t>
            </w:r>
          </w:p>
        </w:tc>
        <w:tc>
          <w:tcPr>
            <w:tcW w:w="2860" w:type="dxa"/>
            <w:vAlign w:val="bottom"/>
          </w:tcPr>
          <w:p>
            <w:pPr>
              <w:ind w:left="300"/>
              <w:spacing w:after="0"/>
              <w:rPr>
                <w:sz w:val="20"/>
                <w:szCs w:val="20"/>
                <w:color w:val="auto"/>
              </w:rPr>
            </w:pPr>
            <w:r>
              <w:rPr>
                <w:rFonts w:ascii="Arial" w:cs="Arial" w:eastAsia="Arial" w:hAnsi="Arial"/>
                <w:sz w:val="18"/>
                <w:szCs w:val="18"/>
                <w:color w:val="auto"/>
              </w:rPr>
              <w:t>, 2023.</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45"/>
        </w:trPr>
        <w:tc>
          <w:tcPr>
            <w:tcW w:w="4460" w:type="dxa"/>
            <w:vAlign w:val="bottom"/>
          </w:tcPr>
          <w:p>
            <w:pPr>
              <w:spacing w:after="0"/>
              <w:rPr>
                <w:sz w:val="24"/>
                <w:szCs w:val="24"/>
                <w:color w:val="auto"/>
              </w:rPr>
            </w:pPr>
          </w:p>
        </w:tc>
        <w:tc>
          <w:tcPr>
            <w:tcW w:w="6560" w:type="dxa"/>
            <w:vAlign w:val="bottom"/>
            <w:gridSpan w:val="3"/>
          </w:tcPr>
          <w:p>
            <w:pPr>
              <w:ind w:left="2160"/>
              <w:spacing w:after="0"/>
              <w:rPr>
                <w:sz w:val="20"/>
                <w:szCs w:val="20"/>
                <w:color w:val="auto"/>
              </w:rPr>
            </w:pPr>
            <w:r>
              <w:rPr>
                <w:rFonts w:ascii="Arial" w:cs="Arial" w:eastAsia="Arial" w:hAnsi="Arial"/>
                <w:sz w:val="18"/>
                <w:szCs w:val="18"/>
                <w:b w:val="1"/>
                <w:bCs w:val="1"/>
                <w:color w:val="auto"/>
              </w:rPr>
              <w:t>ARM HOLDINGS LIMITED</w:t>
            </w:r>
          </w:p>
        </w:tc>
      </w:tr>
      <w:tr>
        <w:trPr>
          <w:trHeight w:val="432"/>
        </w:trPr>
        <w:tc>
          <w:tcPr>
            <w:tcW w:w="4460" w:type="dxa"/>
            <w:vAlign w:val="bottom"/>
          </w:tcPr>
          <w:p>
            <w:pPr>
              <w:spacing w:after="0"/>
              <w:rPr>
                <w:sz w:val="24"/>
                <w:szCs w:val="24"/>
                <w:color w:val="auto"/>
              </w:rPr>
            </w:pPr>
          </w:p>
        </w:tc>
        <w:tc>
          <w:tcPr>
            <w:tcW w:w="2860" w:type="dxa"/>
            <w:vAlign w:val="bottom"/>
          </w:tcPr>
          <w:p>
            <w:pPr>
              <w:ind w:left="21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r>
        <w:trPr>
          <w:trHeight w:val="209"/>
        </w:trPr>
        <w:tc>
          <w:tcPr>
            <w:tcW w:w="4460" w:type="dxa"/>
            <w:vAlign w:val="bottom"/>
          </w:tcPr>
          <w:p>
            <w:pPr>
              <w:spacing w:after="0"/>
              <w:rPr>
                <w:sz w:val="18"/>
                <w:szCs w:val="18"/>
                <w:color w:val="auto"/>
              </w:rPr>
            </w:pPr>
          </w:p>
        </w:tc>
        <w:tc>
          <w:tcPr>
            <w:tcW w:w="2860" w:type="dxa"/>
            <w:vAlign w:val="bottom"/>
          </w:tcPr>
          <w:p>
            <w:pPr>
              <w:ind w:left="2160"/>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Rene Haas</w:t>
            </w:r>
          </w:p>
        </w:tc>
      </w:tr>
      <w:tr>
        <w:trPr>
          <w:trHeight w:val="230"/>
        </w:trPr>
        <w:tc>
          <w:tcPr>
            <w:tcW w:w="4460" w:type="dxa"/>
            <w:vAlign w:val="bottom"/>
          </w:tcPr>
          <w:p>
            <w:pPr>
              <w:spacing w:after="0"/>
              <w:rPr>
                <w:sz w:val="20"/>
                <w:szCs w:val="20"/>
                <w:color w:val="auto"/>
              </w:rPr>
            </w:pPr>
          </w:p>
        </w:tc>
        <w:tc>
          <w:tcPr>
            <w:tcW w:w="2860" w:type="dxa"/>
            <w:vAlign w:val="bottom"/>
          </w:tcPr>
          <w:p>
            <w:pPr>
              <w:ind w:left="2160"/>
              <w:spacing w:after="0"/>
              <w:rPr>
                <w:sz w:val="20"/>
                <w:szCs w:val="20"/>
                <w:color w:val="auto"/>
              </w:rPr>
            </w:pPr>
            <w:r>
              <w:rPr>
                <w:rFonts w:ascii="Arial" w:cs="Arial" w:eastAsia="Arial" w:hAnsi="Arial"/>
                <w:sz w:val="18"/>
                <w:szCs w:val="18"/>
                <w:color w:val="auto"/>
              </w:rPr>
              <w:t>Title:</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Rene Haas and Jason Child, and each of them, his or her true and lawful agent, proxy and attorney-in-fact, with full power of substitution and resubstitution, for and in his or her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6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Signature</w:t>
            </w:r>
          </w:p>
        </w:tc>
        <w:tc>
          <w:tcPr>
            <w:tcW w:w="120" w:type="dxa"/>
            <w:vAlign w:val="bottom"/>
          </w:tcPr>
          <w:p>
            <w:pPr>
              <w:spacing w:after="0"/>
              <w:rPr>
                <w:sz w:val="15"/>
                <w:szCs w:val="15"/>
                <w:color w:val="auto"/>
              </w:rPr>
            </w:pPr>
          </w:p>
        </w:tc>
        <w:tc>
          <w:tcPr>
            <w:tcW w:w="4520" w:type="dxa"/>
            <w:vAlign w:val="bottom"/>
            <w:tcBorders>
              <w:bottom w:val="single" w:sz="8" w:color="auto"/>
            </w:tcBorders>
          </w:tcPr>
          <w:p>
            <w:pPr>
              <w:ind w:left="2120"/>
              <w:spacing w:after="0"/>
              <w:rPr>
                <w:sz w:val="20"/>
                <w:szCs w:val="20"/>
                <w:color w:val="auto"/>
              </w:rPr>
            </w:pPr>
            <w:r>
              <w:rPr>
                <w:rFonts w:ascii="Arial" w:cs="Arial" w:eastAsia="Arial" w:hAnsi="Arial"/>
                <w:sz w:val="14"/>
                <w:szCs w:val="14"/>
                <w:color w:val="auto"/>
              </w:rPr>
              <w:t>Title</w:t>
            </w:r>
          </w:p>
        </w:tc>
        <w:tc>
          <w:tcPr>
            <w:tcW w:w="200" w:type="dxa"/>
            <w:vAlign w:val="bottom"/>
          </w:tcPr>
          <w:p>
            <w:pPr>
              <w:spacing w:after="0"/>
              <w:rPr>
                <w:sz w:val="15"/>
                <w:szCs w:val="15"/>
                <w:color w:val="auto"/>
              </w:rPr>
            </w:pPr>
          </w:p>
        </w:tc>
        <w:tc>
          <w:tcPr>
            <w:tcW w:w="254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412"/>
        </w:trPr>
        <w:tc>
          <w:tcPr>
            <w:tcW w:w="36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540" w:type="dxa"/>
            <w:vAlign w:val="bottom"/>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4"/>
              </w:rPr>
              <w:t>Rene Haas</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Financial Officer</w:t>
            </w:r>
          </w:p>
        </w:tc>
        <w:tc>
          <w:tcPr>
            <w:tcW w:w="2540" w:type="dxa"/>
            <w:vAlign w:val="bottom"/>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Jason Child</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540" w:type="dxa"/>
            <w:vAlign w:val="bottom"/>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Laura Bartels</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Board of Directors</w:t>
            </w:r>
          </w:p>
        </w:tc>
        <w:tc>
          <w:tcPr>
            <w:tcW w:w="2540" w:type="dxa"/>
            <w:vAlign w:val="bottom"/>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Masayoshi Son</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vMerge w:val="restart"/>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1"/>
              </w:rPr>
              <w:t>Ronald D. Fisher</w:t>
            </w:r>
          </w:p>
        </w:tc>
        <w:tc>
          <w:tcPr>
            <w:tcW w:w="4840" w:type="dxa"/>
            <w:vAlign w:val="bottom"/>
            <w:gridSpan w:val="3"/>
            <w:vMerge w:val="continue"/>
          </w:tcPr>
          <w:p>
            <w:pPr>
              <w:spacing w:after="0"/>
              <w:rPr>
                <w:sz w:val="8"/>
                <w:szCs w:val="8"/>
                <w:color w:val="auto"/>
              </w:rPr>
            </w:pP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vMerge w:val="restart"/>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2"/>
              </w:rPr>
              <w:t>Jeffrey A. Sine</w:t>
            </w:r>
          </w:p>
        </w:tc>
        <w:tc>
          <w:tcPr>
            <w:tcW w:w="4840" w:type="dxa"/>
            <w:vAlign w:val="bottom"/>
            <w:gridSpan w:val="3"/>
            <w:vMerge w:val="continue"/>
          </w:tcPr>
          <w:p>
            <w:pPr>
              <w:spacing w:after="0"/>
              <w:rPr>
                <w:sz w:val="8"/>
                <w:szCs w:val="8"/>
                <w:color w:val="auto"/>
              </w:rPr>
            </w:pP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109"/>
        </w:trPr>
        <w:tc>
          <w:tcPr>
            <w:tcW w:w="3640" w:type="dxa"/>
            <w:vAlign w:val="bottom"/>
            <w:tcBorders>
              <w:bottom w:val="single" w:sz="8" w:color="auto"/>
            </w:tcBorders>
          </w:tcPr>
          <w:p>
            <w:pPr>
              <w:spacing w:after="0"/>
              <w:rPr>
                <w:sz w:val="9"/>
                <w:szCs w:val="9"/>
                <w:color w:val="auto"/>
              </w:rPr>
            </w:pPr>
          </w:p>
        </w:tc>
        <w:tc>
          <w:tcPr>
            <w:tcW w:w="344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1"/>
              </w:rPr>
              <w:t>Karen E. Dykstra</w:t>
            </w:r>
          </w:p>
        </w:tc>
        <w:tc>
          <w:tcPr>
            <w:tcW w:w="3440" w:type="dxa"/>
            <w:vAlign w:val="bottom"/>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34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344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4"/>
              </w:rPr>
              <w:t>Anthony Michael Fadell</w:t>
            </w:r>
          </w:p>
        </w:tc>
        <w:tc>
          <w:tcPr>
            <w:tcW w:w="3440" w:type="dxa"/>
            <w:vAlign w:val="bottom"/>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34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344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8"/>
              </w:rPr>
              <w:t>Rosemary Schooler</w:t>
            </w:r>
          </w:p>
        </w:tc>
        <w:tc>
          <w:tcPr>
            <w:tcW w:w="3440" w:type="dxa"/>
            <w:vAlign w:val="bottom"/>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34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344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7"/>
              </w:rPr>
              <w:t>Paul E. Jacobs, PhD</w:t>
            </w:r>
          </w:p>
        </w:tc>
        <w:tc>
          <w:tcPr>
            <w:tcW w:w="3440" w:type="dxa"/>
            <w:vAlign w:val="bottom"/>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34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360"/>
          </w:cols>
          <w:pgMar w:left="320" w:top="459" w:right="121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SIGNATURE OF AUTHORIZED U.S. REPRESENTATIVE OF THE REGISTRANT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Securities Act of 1933, the undersigned, the duly authorized representative in the United States of Arm Holdings Limited has</w:t>
      </w:r>
    </w:p>
    <w:p>
      <w:pPr>
        <w:spacing w:after="0" w:line="46" w:lineRule="exact"/>
        <w:rPr>
          <w:sz w:val="20"/>
          <w:szCs w:val="20"/>
          <w:color w:val="auto"/>
        </w:rPr>
      </w:pPr>
    </w:p>
    <w:p>
      <w:pPr>
        <w:ind w:left="120"/>
        <w:spacing w:after="0"/>
        <w:tabs>
          <w:tab w:leader="none" w:pos="5120" w:val="left"/>
        </w:tabs>
        <w:rPr>
          <w:sz w:val="20"/>
          <w:szCs w:val="20"/>
          <w:color w:val="auto"/>
        </w:rPr>
      </w:pPr>
      <w:r>
        <w:rPr>
          <w:rFonts w:ascii="Arial" w:cs="Arial" w:eastAsia="Arial" w:hAnsi="Arial"/>
          <w:sz w:val="18"/>
          <w:szCs w:val="18"/>
          <w:color w:val="auto"/>
        </w:rPr>
        <w:t>signed this registration statement or amendment thereto on</w:t>
      </w:r>
      <w:r>
        <w:rPr>
          <w:sz w:val="20"/>
          <w:szCs w:val="20"/>
          <w:color w:val="auto"/>
        </w:rPr>
        <w:tab/>
      </w:r>
      <w:r>
        <w:rPr>
          <w:rFonts w:ascii="Arial" w:cs="Arial" w:eastAsia="Arial" w:hAnsi="Arial"/>
          <w:sz w:val="16"/>
          <w:szCs w:val="16"/>
          <w:color w:val="auto"/>
        </w:rPr>
        <w:t>, 2023.</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ARM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0656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II-6</w:t>
      </w:r>
    </w:p>
    <w:sectPr>
      <w:pgSz w:w="11900" w:h="16838" w:orient="portrait"/>
      <w:cols w:equalWidth="0" w:num="1">
        <w:col w:w="10700"/>
      </w:cols>
      <w:pgMar w:left="320" w:top="45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1"/>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lvl w:ilvl="1">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1)"/>
      <w:numFmt w:val="decimal"/>
      <w:start w:val="1"/>
    </w:lvl>
  </w:abstractNum>
  <w:abstractNum w:abstractNumId="43">
    <w:nsid w:val="3FA62ACA"/>
    <w:multiLevelType w:val="hybridMultilevel"/>
    <w:lvl w:ilvl="0">
      <w:lvlJc w:val="left"/>
      <w:lvlText w:val="(%1)"/>
      <w:numFmt w:val="decimal"/>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lvl w:ilvl="1">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
      <w:numFmt w:val="bullet"/>
      <w:start w:val="1"/>
    </w:lvl>
  </w:abstractNum>
  <w:abstractNum w:abstractNumId="63">
    <w:nsid w:val="45E6D486"/>
    <w:multiLevelType w:val="hybridMultilevel"/>
    <w:lvl w:ilvl="0">
      <w:lvlJc w:val="left"/>
      <w:lvlText w:val="•"/>
      <w:numFmt w:val="bullet"/>
      <w:start w:val="1"/>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1)"/>
      <w:numFmt w:val="lowerRoman"/>
      <w:start w:val="1"/>
    </w:lvl>
  </w:abstractNum>
  <w:abstractNum w:abstractNumId="68">
    <w:nsid w:val="78DF6A55"/>
    <w:multiLevelType w:val="hybridMultilevel"/>
    <w:lvl w:ilvl="0">
      <w:lvlJc w:val="left"/>
      <w:lvlText w:val="(%1)"/>
      <w:numFmt w:val="lowerLetter"/>
      <w:start w:val="3"/>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
      <w:numFmt w:val="bullet"/>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
      <w:numFmt w:val="bullet"/>
      <w:start w:val="1"/>
    </w:lvl>
  </w:abstractNum>
  <w:abstractNum w:abstractNumId="73">
    <w:nsid w:val="69E373"/>
    <w:multiLevelType w:val="hybridMultilevel"/>
    <w:lvl w:ilvl="0">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
      <w:numFmt w:val="bullet"/>
      <w:start w:val="1"/>
    </w:lvl>
    <w:lvl w:ilvl="1">
      <w:lvlJc w:val="left"/>
      <w:lvlText w:val="(%2)"/>
      <w:numFmt w:val="lowerRoman"/>
      <w:start w:val="3"/>
    </w:lvl>
  </w:abstractNum>
  <w:abstractNum w:abstractNumId="79">
    <w:nsid w:val="3DD15094"/>
    <w:multiLevelType w:val="hybridMultilevel"/>
    <w:lvl w:ilvl="0">
      <w:lvlJc w:val="left"/>
      <w:lvlText w:val="•"/>
      <w:numFmt w:val="bullet"/>
      <w:start w:val="1"/>
    </w:lvl>
  </w:abstractNum>
  <w:abstractNum w:abstractNumId="80">
    <w:nsid w:val="3DB012B3"/>
    <w:multiLevelType w:val="hybridMultilevel"/>
    <w:lvl w:ilvl="0">
      <w:lvlJc w:val="left"/>
      <w:lvlText w:val="•"/>
      <w:numFmt w:val="bullet"/>
      <w:start w:val="1"/>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
      <w:numFmt w:val="bullet"/>
      <w:start w:val="1"/>
    </w:lvl>
  </w:abstractNum>
  <w:abstractNum w:abstractNumId="83">
    <w:nsid w:val="175DFCF0"/>
    <w:multiLevelType w:val="hybridMultilevel"/>
    <w:lvl w:ilvl="0">
      <w:lvlJc w:val="left"/>
      <w:lvlText w:val="(%1)"/>
      <w:numFmt w:val="lowerLetter"/>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
      <w:numFmt w:val="bullet"/>
      <w:start w:val="1"/>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
      <w:numFmt w:val="bullet"/>
      <w:start w:val="1"/>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
      <w:numFmt w:val="bullet"/>
      <w:start w:val="1"/>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1)"/>
      <w:numFmt w:val="lowerRoman"/>
      <w:start w:val="1"/>
    </w:lvl>
  </w:abstractNum>
  <w:abstractNum w:abstractNumId="93">
    <w:nsid w:val="5046B5A9"/>
    <w:multiLevelType w:val="hybridMultilevel"/>
    <w:lvl w:ilvl="0">
      <w:lvlJc w:val="left"/>
      <w:lvlText w:val="•"/>
      <w:numFmt w:val="bullet"/>
      <w:start w:val="1"/>
    </w:lvl>
  </w:abstractNum>
  <w:abstractNum w:abstractNumId="94">
    <w:nsid w:val="5D888A08"/>
    <w:multiLevelType w:val="hybridMultilevel"/>
    <w:lvl w:ilvl="0">
      <w:lvlJc w:val="left"/>
      <w:lvlText w:val="•"/>
      <w:numFmt w:val="bullet"/>
      <w:start w:val="1"/>
    </w:lvl>
  </w:abstractNum>
  <w:abstractNum w:abstractNumId="95">
    <w:nsid w:val="2A082C70"/>
    <w:multiLevelType w:val="hybridMultilevel"/>
    <w:lvl w:ilvl="0">
      <w:lvlJc w:val="left"/>
      <w:lvlText w:val="•"/>
      <w:numFmt w:val="bullet"/>
      <w:start w:val="1"/>
    </w:lvl>
  </w:abstractNum>
  <w:abstractNum w:abstractNumId="96">
    <w:nsid w:val="5EC6AFD4"/>
    <w:multiLevelType w:val="hybridMultilevel"/>
    <w:lvl w:ilvl="0">
      <w:lvlJc w:val="left"/>
      <w:lvlText w:val="•"/>
      <w:numFmt w:val="bullet"/>
      <w:start w:val="1"/>
    </w:lvl>
    <w:lvl w:ilvl="1">
      <w:lvlJc w:val="left"/>
      <w:lvlText w:val=","/>
      <w:numFmt w:val="bullet"/>
      <w:start w:val="1"/>
    </w:lvl>
  </w:abstractNum>
  <w:abstractNum w:abstractNumId="97">
    <w:nsid w:val="19E21BB2"/>
    <w:multiLevelType w:val="hybridMultilevel"/>
    <w:lvl w:ilvl="0">
      <w:lvlJc w:val="left"/>
      <w:lvlText w:val="%1."/>
      <w:numFmt w:val="decimal"/>
      <w:start w:val="701"/>
    </w:lvl>
  </w:abstractNum>
  <w:abstractNum w:abstractNumId="98">
    <w:nsid w:val="75E0858A"/>
    <w:multiLevelType w:val="hybridMultilevel"/>
    <w:lvl w:ilvl="0">
      <w:lvlJc w:val="left"/>
      <w:lvlText w:val="•"/>
      <w:numFmt w:val="bullet"/>
      <w:start w:val="1"/>
    </w:lvl>
  </w:abstractNum>
  <w:abstractNum w:abstractNumId="99">
    <w:nsid w:val="57A61A29"/>
    <w:multiLevelType w:val="hybridMultilevel"/>
    <w:lvl w:ilvl="0">
      <w:lvlJc w:val="left"/>
      <w:lvlText w:val="•"/>
      <w:numFmt w:val="bullet"/>
      <w:start w:val="1"/>
    </w:lvl>
  </w:abstractNum>
  <w:abstractNum w:abstractNumId="100">
    <w:nsid w:val="5399C654"/>
    <w:multiLevelType w:val="hybridMultilevel"/>
    <w:lvl w:ilvl="0">
      <w:lvlJc w:val="left"/>
      <w:lvlText w:val="•"/>
      <w:numFmt w:val="bullet"/>
      <w:start w:val="1"/>
    </w:lvl>
  </w:abstractNum>
  <w:abstractNum w:abstractNumId="101">
    <w:nsid w:val="20EE1348"/>
    <w:multiLevelType w:val="hybridMultilevel"/>
    <w:lvl w:ilvl="0">
      <w:lvlJc w:val="left"/>
      <w:lvlText w:val="•"/>
      <w:numFmt w:val="bullet"/>
      <w:start w:val="1"/>
    </w:lvl>
  </w:abstractNum>
  <w:abstractNum w:abstractNumId="102">
    <w:nsid w:val="4427069A"/>
    <w:multiLevelType w:val="hybridMultilevel"/>
    <w:lvl w:ilvl="0">
      <w:lvlJc w:val="left"/>
      <w:lvlText w:val="•"/>
      <w:numFmt w:val="bullet"/>
      <w:start w:val="1"/>
    </w:lvl>
  </w:abstractNum>
  <w:abstractNum w:abstractNumId="103">
    <w:nsid w:val="B37E80A"/>
    <w:multiLevelType w:val="hybridMultilevel"/>
    <w:lvl w:ilvl="0">
      <w:lvlJc w:val="left"/>
      <w:lvlText w:val="•"/>
      <w:numFmt w:val="bullet"/>
      <w:start w:val="1"/>
    </w:lvl>
  </w:abstractNum>
  <w:abstractNum w:abstractNumId="104">
    <w:nsid w:val="2157F6BC"/>
    <w:multiLevelType w:val="hybridMultilevel"/>
    <w:lvl w:ilvl="0">
      <w:lvlJc w:val="left"/>
      <w:lvlText w:val="•"/>
      <w:numFmt w:val="bullet"/>
      <w:start w:val="1"/>
    </w:lvl>
  </w:abstractNum>
  <w:abstractNum w:abstractNumId="105">
    <w:nsid w:val="704E1DD5"/>
    <w:multiLevelType w:val="hybridMultilevel"/>
    <w:lvl w:ilvl="0">
      <w:lvlJc w:val="left"/>
      <w:lvlText w:val="%1)"/>
      <w:numFmt w:val="lowerLetter"/>
      <w:start w:val="1"/>
    </w:lvl>
  </w:abstractNum>
  <w:abstractNum w:abstractNumId="106">
    <w:nsid w:val="57D2F10E"/>
    <w:multiLevelType w:val="hybridMultilevel"/>
    <w:lvl w:ilvl="0">
      <w:lvlJc w:val="left"/>
      <w:lvlText w:val="%1)"/>
      <w:numFmt w:val="lowerLetter"/>
      <w:start w:val="1"/>
    </w:lvl>
  </w:abstractNum>
  <w:abstractNum w:abstractNumId="107">
    <w:nsid w:val="BFFAE18"/>
    <w:multiLevelType w:val="hybridMultilevel"/>
    <w:lvl w:ilvl="0">
      <w:lvlJc w:val="left"/>
      <w:lvlText w:val="•"/>
      <w:numFmt w:val="bullet"/>
      <w:start w:val="1"/>
    </w:lvl>
  </w:abstractNum>
  <w:abstractNum w:abstractNumId="108">
    <w:nsid w:val="E3E47A8"/>
    <w:multiLevelType w:val="hybridMultilevel"/>
    <w:lvl w:ilvl="0">
      <w:lvlJc w:val="left"/>
      <w:lvlText w:val="•"/>
      <w:numFmt w:val="bullet"/>
      <w:start w:val="1"/>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
      <w:numFmt w:val="bullet"/>
      <w:start w:val="1"/>
    </w:lvl>
  </w:abstractNum>
  <w:abstractNum w:abstractNumId="111">
    <w:nsid w:val="4BEE5A5B"/>
    <w:multiLevelType w:val="hybridMultilevel"/>
    <w:lvl w:ilvl="0">
      <w:lvlJc w:val="left"/>
      <w:lvlText w:val="$"/>
      <w:numFmt w:val="bullet"/>
      <w:start w:val="1"/>
    </w:lvl>
  </w:abstractNum>
  <w:abstractNum w:abstractNumId="112">
    <w:nsid w:val="5551B9F3"/>
    <w:multiLevelType w:val="hybridMultilevel"/>
    <w:lvl w:ilvl="0">
      <w:lvlJc w:val="left"/>
      <w:lvlText w:val="•"/>
      <w:numFmt w:val="bullet"/>
      <w:start w:val="1"/>
    </w:lvl>
  </w:abstractNum>
  <w:abstractNum w:abstractNumId="113">
    <w:nsid w:val="24F6AB8E"/>
    <w:multiLevelType w:val="hybridMultilevel"/>
    <w:lvl w:ilvl="0">
      <w:lvlJc w:val="left"/>
      <w:lvlText w:val="(%1)"/>
      <w:numFmt w:val="lowerRoman"/>
      <w:start w:val="2"/>
    </w:lvl>
  </w:abstractNum>
  <w:abstractNum w:abstractNumId="114">
    <w:nsid w:val="634C574C"/>
    <w:multiLevelType w:val="hybridMultilevel"/>
    <w:lvl w:ilvl="0">
      <w:lvlJc w:val="left"/>
      <w:lvlText w:val="(%1)"/>
      <w:numFmt w:val="decimal"/>
      <w:start w:val="2"/>
    </w:lvl>
  </w:abstractNum>
  <w:abstractNum w:abstractNumId="115">
    <w:nsid w:val="24E99DD7"/>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
      <w:numFmt w:val="bullet"/>
      <w:start w:val="1"/>
    </w:lvl>
  </w:abstractNum>
  <w:abstractNum w:abstractNumId="116">
    <w:nsid w:val="2A31B62D"/>
    <w:multiLevelType w:val="hybridMultilevel"/>
    <w:lvl w:ilvl="0">
      <w:lvlJc w:val="left"/>
      <w:lvlText w:val="○"/>
      <w:numFmt w:val="bullet"/>
      <w:start w:val="1"/>
    </w:lvl>
  </w:abstractNum>
  <w:abstractNum w:abstractNumId="117">
    <w:nsid w:val="1849C29B"/>
    <w:multiLevelType w:val="hybridMultilevel"/>
    <w:lvl w:ilvl="0">
      <w:lvlJc w:val="left"/>
      <w:lvlText w:val="•"/>
      <w:numFmt w:val="bullet"/>
      <w:start w:val="1"/>
    </w:lvl>
    <w:lvl w:ilvl="1">
      <w:lvlJc w:val="left"/>
      <w:lvlText w:val="•"/>
      <w:numFmt w:val="bullet"/>
      <w:start w:val="1"/>
    </w:lvl>
  </w:abstractNum>
  <w:abstractNum w:abstractNumId="118">
    <w:nsid w:val="7DFF9D09"/>
    <w:multiLevelType w:val="hybridMultilevel"/>
    <w:lvl w:ilvl="0">
      <w:lvlJc w:val="left"/>
      <w:lvlText w:val="•"/>
      <w:numFmt w:val="bullet"/>
      <w:start w:val="1"/>
    </w:lvl>
  </w:abstractNum>
  <w:abstractNum w:abstractNumId="119">
    <w:nsid w:val="754342"/>
    <w:multiLevelType w:val="hybridMultilevel"/>
    <w:lvl w:ilvl="0">
      <w:lvlJc w:val="left"/>
      <w:lvlText w:val="%1."/>
      <w:numFmt w:val="decimal"/>
      <w:start w:val="1"/>
    </w:lvl>
  </w:abstractNum>
  <w:abstractNum w:abstractNumId="120">
    <w:nsid w:val="69E7F3E5"/>
    <w:multiLevelType w:val="hybridMultilevel"/>
    <w:lvl w:ilvl="0">
      <w:lvlJc w:val="left"/>
      <w:lvlText w:val="•"/>
      <w:numFmt w:val="bullet"/>
      <w:start w:val="1"/>
    </w:lvl>
  </w:abstractNum>
  <w:abstractNum w:abstractNumId="121">
    <w:nsid w:val="2A6DE806"/>
    <w:multiLevelType w:val="hybridMultilevel"/>
    <w:lvl w:ilvl="0">
      <w:lvlJc w:val="left"/>
      <w:lvlText w:val="•"/>
      <w:numFmt w:val="bullet"/>
      <w:start w:val="1"/>
    </w:lvl>
  </w:abstractNum>
  <w:abstractNum w:abstractNumId="122">
    <w:nsid w:val="1816F8C4"/>
    <w:multiLevelType w:val="hybridMultilevel"/>
    <w:lvl w:ilvl="0">
      <w:lvlJc w:val="left"/>
      <w:lvlText w:val="•"/>
      <w:numFmt w:val="bullet"/>
      <w:start w:val="1"/>
    </w:lvl>
  </w:abstractNum>
  <w:abstractNum w:abstractNumId="123">
    <w:nsid w:val="37DF2233"/>
    <w:multiLevelType w:val="hybridMultilevel"/>
    <w:lvl w:ilvl="0">
      <w:lvlJc w:val="left"/>
      <w:lvlText w:val="•"/>
      <w:numFmt w:val="bullet"/>
      <w:start w:val="1"/>
    </w:lvl>
  </w:abstractNum>
  <w:abstractNum w:abstractNumId="124">
    <w:nsid w:val="7AB49DAF"/>
    <w:multiLevelType w:val="hybridMultilevel"/>
    <w:lvl w:ilvl="0">
      <w:lvlJc w:val="left"/>
      <w:lvlText w:val="•"/>
      <w:numFmt w:val="bullet"/>
      <w:start w:val="1"/>
    </w:lvl>
  </w:abstractNum>
  <w:abstractNum w:abstractNumId="125">
    <w:nsid w:val="759F82CD"/>
    <w:multiLevelType w:val="hybridMultilevel"/>
    <w:lvl w:ilvl="0">
      <w:lvlJc w:val="left"/>
      <w:lvlText w:val="•"/>
      <w:numFmt w:val="bullet"/>
      <w:start w:val="1"/>
    </w:lvl>
  </w:abstractNum>
  <w:abstractNum w:abstractNumId="126">
    <w:nsid w:val="61E74EA3"/>
    <w:multiLevelType w:val="hybridMultilevel"/>
    <w:lvl w:ilvl="0">
      <w:lvlJc w:val="left"/>
      <w:lvlText w:val="•"/>
      <w:numFmt w:val="bullet"/>
      <w:start w:val="1"/>
    </w:lvl>
  </w:abstractNum>
  <w:abstractNum w:abstractNumId="127">
    <w:nsid w:val="597B4D84"/>
    <w:multiLevelType w:val="hybridMultilevel"/>
    <w:lvl w:ilvl="0">
      <w:lvlJc w:val="left"/>
      <w:lvlText w:val="•"/>
      <w:numFmt w:val="bullet"/>
      <w:start w:val="1"/>
    </w:lvl>
  </w:abstractNum>
  <w:abstractNum w:abstractNumId="128">
    <w:nsid w:val="F819E7F"/>
    <w:multiLevelType w:val="hybridMultilevel"/>
    <w:lvl w:ilvl="0">
      <w:lvlJc w:val="left"/>
      <w:lvlText w:val="•"/>
      <w:numFmt w:val="bullet"/>
      <w:start w:val="1"/>
    </w:lvl>
  </w:abstractNum>
  <w:abstractNum w:abstractNumId="129">
    <w:nsid w:val="57C7D42D"/>
    <w:multiLevelType w:val="hybridMultilevel"/>
    <w:lvl w:ilvl="0">
      <w:lvlJc w:val="left"/>
      <w:lvlText w:val="•"/>
      <w:numFmt w:val="bullet"/>
      <w:start w:val="1"/>
    </w:lvl>
  </w:abstractNum>
  <w:abstractNum w:abstractNumId="130">
    <w:nsid w:val="312167AD"/>
    <w:multiLevelType w:val="hybridMultilevel"/>
    <w:lvl w:ilvl="0">
      <w:lvlJc w:val="left"/>
      <w:lvlText w:val="%1."/>
      <w:numFmt w:val="decimal"/>
      <w:start w:val="2"/>
    </w:lvl>
  </w:abstractNum>
  <w:abstractNum w:abstractNumId="131">
    <w:nsid w:val="631B64D4"/>
    <w:multiLevelType w:val="hybridMultilevel"/>
    <w:lvl w:ilvl="0">
      <w:lvlJc w:val="left"/>
      <w:lvlText w:val="(%1)"/>
      <w:numFmt w:val="decimal"/>
      <w:start w:val="1"/>
    </w:lvl>
  </w:abstractNum>
  <w:abstractNum w:abstractNumId="132">
    <w:nsid w:val="78B5E776"/>
    <w:multiLevelType w:val="hybridMultilevel"/>
    <w:lvl w:ilvl="0">
      <w:lvlJc w:val="left"/>
      <w:lvlText w:val="%1."/>
      <w:numFmt w:val="decimal"/>
      <w:start w:val="4"/>
    </w:lvl>
  </w:abstractNum>
  <w:abstractNum w:abstractNumId="133">
    <w:nsid w:val="75486E47"/>
    <w:multiLevelType w:val="hybridMultilevel"/>
    <w:lvl w:ilvl="0">
      <w:lvlJc w:val="left"/>
      <w:lvlText w:val="%1."/>
      <w:numFmt w:val="decimal"/>
      <w:start w:val="5"/>
    </w:lvl>
  </w:abstractNum>
  <w:abstractNum w:abstractNumId="134">
    <w:nsid w:val="6E534CDE"/>
    <w:multiLevelType w:val="hybridMultilevel"/>
    <w:lvl w:ilvl="0">
      <w:lvlJc w:val="left"/>
      <w:lvlText w:val="%1."/>
      <w:numFmt w:val="decimal"/>
      <w:start w:val="6"/>
    </w:lvl>
  </w:abstractNum>
  <w:abstractNum w:abstractNumId="135">
    <w:nsid w:val="1A0DDE32"/>
    <w:multiLevelType w:val="hybridMultilevel"/>
    <w:lvl w:ilvl="0">
      <w:lvlJc w:val="left"/>
      <w:lvlText w:val="%1."/>
      <w:numFmt w:val="decimal"/>
      <w:start w:val="7"/>
    </w:lvl>
  </w:abstractNum>
  <w:abstractNum w:abstractNumId="136">
    <w:nsid w:val="65968C1C"/>
    <w:multiLevelType w:val="hybridMultilevel"/>
    <w:lvl w:ilvl="0">
      <w:lvlJc w:val="left"/>
      <w:lvlText w:val="%1."/>
      <w:numFmt w:val="decimal"/>
      <w:start w:val="8"/>
    </w:lvl>
  </w:abstractNum>
  <w:abstractNum w:abstractNumId="137">
    <w:nsid w:val="46263DEC"/>
    <w:multiLevelType w:val="hybridMultilevel"/>
    <w:lvl w:ilvl="0">
      <w:lvlJc w:val="left"/>
      <w:lvlText w:val="%1."/>
      <w:numFmt w:val="decimal"/>
      <w:start w:val="9"/>
    </w:lvl>
  </w:abstractNum>
  <w:abstractNum w:abstractNumId="138">
    <w:nsid w:val="260D8C4A"/>
    <w:multiLevelType w:val="hybridMultilevel"/>
    <w:lvl w:ilvl="0">
      <w:lvlJc w:val="left"/>
      <w:lvlText w:val="%1."/>
      <w:numFmt w:val="decimal"/>
      <w:start w:val="10"/>
    </w:lvl>
  </w:abstractNum>
  <w:abstractNum w:abstractNumId="139">
    <w:nsid w:val="73D4D3C4"/>
    <w:multiLevelType w:val="hybridMultilevel"/>
    <w:lvl w:ilvl="0">
      <w:lvlJc w:val="left"/>
      <w:lvlText w:val="$"/>
      <w:numFmt w:val="bullet"/>
      <w:start w:val="1"/>
    </w:lvl>
  </w:abstractNum>
  <w:abstractNum w:abstractNumId="140">
    <w:nsid w:val="746F2E30"/>
    <w:multiLevelType w:val="hybridMultilevel"/>
    <w:lvl w:ilvl="0">
      <w:lvlJc w:val="left"/>
      <w:lvlText w:val="$"/>
      <w:numFmt w:val="bullet"/>
      <w:start w:val="1"/>
    </w:lvl>
  </w:abstractNum>
  <w:abstractNum w:abstractNumId="141">
    <w:nsid w:val="6FDE8AF6"/>
    <w:multiLevelType w:val="hybridMultilevel"/>
    <w:lvl w:ilvl="0">
      <w:lvlJc w:val="left"/>
      <w:lvlText w:val="(%1)"/>
      <w:numFmt w:val="decimal"/>
      <w:start w:val="1"/>
    </w:lvl>
  </w:abstractNum>
  <w:abstractNum w:abstractNumId="142">
    <w:nsid w:val="3FC32E20"/>
    <w:multiLevelType w:val="hybridMultilevel"/>
    <w:lvl w:ilvl="0">
      <w:lvlJc w:val="left"/>
      <w:lvlText w:val="(%1)"/>
      <w:numFmt w:val="decimal"/>
      <w:start w:val="1"/>
    </w:lvl>
  </w:abstractNum>
  <w:abstractNum w:abstractNumId="143">
    <w:nsid w:val="49C0E823"/>
    <w:multiLevelType w:val="hybridMultilevel"/>
    <w:lvl w:ilvl="0">
      <w:lvlJc w:val="left"/>
      <w:lvlText w:val="%1."/>
      <w:numFmt w:val="decimal"/>
      <w:start w:val="12"/>
    </w:lvl>
  </w:abstractNum>
  <w:abstractNum w:abstractNumId="144">
    <w:nsid w:val="14D53685"/>
    <w:multiLevelType w:val="hybridMultilevel"/>
    <w:lvl w:ilvl="0">
      <w:lvlJc w:val="left"/>
      <w:lvlText w:val="(%1)"/>
      <w:numFmt w:val="decimal"/>
      <w:start w:val="1"/>
    </w:lvl>
  </w:abstractNum>
  <w:abstractNum w:abstractNumId="145">
    <w:nsid w:val="230F856C"/>
    <w:multiLevelType w:val="hybridMultilevel"/>
    <w:lvl w:ilvl="0">
      <w:lvlJc w:val="left"/>
      <w:lvlText w:val="(%1)"/>
      <w:numFmt w:val="lowerLetter"/>
      <w:start w:val="1"/>
    </w:lvl>
  </w:abstractNum>
  <w:abstractNum w:abstractNumId="146">
    <w:nsid w:val="6EAA85FB"/>
    <w:multiLevelType w:val="hybridMultilevel"/>
    <w:lvl w:ilvl="0">
      <w:lvlJc w:val="left"/>
      <w:lvlText w:val="%1."/>
      <w:numFmt w:val="decimal"/>
      <w:start w:val="13"/>
    </w:lvl>
  </w:abstractNum>
  <w:abstractNum w:abstractNumId="147">
    <w:nsid w:val="3F06ECB2"/>
    <w:multiLevelType w:val="hybridMultilevel"/>
    <w:lvl w:ilvl="0">
      <w:lvlJc w:val="left"/>
      <w:lvlText w:val="%1."/>
      <w:numFmt w:val="decimal"/>
      <w:start w:val="14"/>
    </w:lvl>
  </w:abstractNum>
  <w:abstractNum w:abstractNumId="148">
    <w:nsid w:val="3B594807"/>
    <w:multiLevelType w:val="hybridMultilevel"/>
    <w:lvl w:ilvl="0">
      <w:lvlJc w:val="left"/>
      <w:lvlText w:val="%1."/>
      <w:numFmt w:val="decimal"/>
      <w:start w:val="15"/>
    </w:lvl>
  </w:abstractNum>
  <w:abstractNum w:abstractNumId="149">
    <w:nsid w:val="6CAA2304"/>
    <w:multiLevelType w:val="hybridMultilevel"/>
    <w:lvl w:ilvl="0">
      <w:lvlJc w:val="left"/>
      <w:lvlText w:val="%1."/>
      <w:numFmt w:val="decimal"/>
      <w:start w:val="16"/>
    </w:lvl>
  </w:abstractNum>
  <w:abstractNum w:abstractNumId="150">
    <w:nsid w:val="3F7C2FF4"/>
    <w:multiLevelType w:val="hybridMultilevel"/>
    <w:lvl w:ilvl="0">
      <w:lvlJc w:val="left"/>
      <w:lvlText w:val="%1."/>
      <w:numFmt w:val="decimal"/>
      <w:start w:val="17"/>
    </w:lvl>
  </w:abstractNum>
  <w:abstractNum w:abstractNumId="151">
    <w:nsid w:val="25413BEC"/>
    <w:multiLevelType w:val="hybridMultilevel"/>
    <w:lvl w:ilvl="0">
      <w:lvlJc w:val="left"/>
      <w:lvlText w:val="(%1)"/>
      <w:numFmt w:val="decimal"/>
      <w:start w:val="1"/>
    </w:lvl>
  </w:abstractNum>
  <w:abstractNum w:abstractNumId="152">
    <w:nsid w:val="17180B0B"/>
    <w:multiLevelType w:val="hybridMultilevel"/>
    <w:lvl w:ilvl="0">
      <w:lvlJc w:val="left"/>
      <w:lvlText w:val="%1."/>
      <w:numFmt w:val="decimal"/>
      <w:start w:val="18"/>
    </w:lvl>
  </w:abstractNum>
  <w:abstractNum w:abstractNumId="153">
    <w:nsid w:val="579328B9"/>
    <w:multiLevelType w:val="hybridMultilevel"/>
    <w:lvl w:ilvl="0">
      <w:lvlJc w:val="left"/>
      <w:lvlText w:val="%1."/>
      <w:numFmt w:val="decimal"/>
      <w:start w:val="19"/>
    </w:lvl>
  </w:abstractNum>
  <w:abstractNum w:abstractNumId="154">
    <w:nsid w:val="5D205E20"/>
    <w:multiLevelType w:val="hybridMultilevel"/>
    <w:lvl w:ilvl="0">
      <w:lvlJc w:val="left"/>
      <w:lvlText w:val="%1."/>
      <w:numFmt w:val="decimal"/>
      <w:start w:val="20"/>
    </w:lvl>
  </w:abstractNum>
  <w:abstractNum w:abstractNumId="155">
    <w:nsid w:val="11CCA8BA"/>
    <w:multiLevelType w:val="hybridMultilevel"/>
    <w:lvl w:ilvl="0">
      <w:lvlJc w:val="left"/>
      <w:lvlText w:val="%1."/>
      <w:numFmt w:val="decimal"/>
      <w:start w:val="21"/>
    </w:lvl>
  </w:abstractNum>
  <w:abstractNum w:abstractNumId="156">
    <w:nsid w:val="4D32AB86"/>
    <w:multiLevelType w:val="hybridMultilevel"/>
    <w:lvl w:ilvl="0">
      <w:lvlJc w:val="left"/>
      <w:lvlText w:val="%1."/>
      <w:numFmt w:val="decimal"/>
      <w:start w:val="22"/>
    </w:lvl>
  </w:abstractNum>
  <w:abstractNum w:abstractNumId="157">
    <w:nsid w:val="3F07ACC3"/>
    <w:multiLevelType w:val="hybridMultilevel"/>
    <w:lvl w:ilvl="0">
      <w:lvlJc w:val="left"/>
      <w:lvlText w:val="•"/>
      <w:numFmt w:val="bullet"/>
      <w:start w:val="1"/>
    </w:lvl>
  </w:abstractNum>
  <w:abstractNum w:abstractNumId="158">
    <w:nsid w:val="6B47F63E"/>
    <w:multiLevelType w:val="hybridMultilevel"/>
    <w:lvl w:ilvl="0">
      <w:lvlJc w:val="left"/>
      <w:lvlText w:val="(%1)"/>
      <w:numFmt w:val="lowerRoman"/>
      <w:start w:val="2"/>
    </w:lvl>
  </w:abstractNum>
  <w:abstractNum w:abstractNumId="159">
    <w:nsid w:val="5CB44A05"/>
    <w:multiLevelType w:val="hybridMultilevel"/>
    <w:lvl w:ilvl="0">
      <w:lvlJc w:val="left"/>
      <w:lvlText w:val="*"/>
      <w:numFmt w:val="bullet"/>
      <w:start w:val="1"/>
    </w:lvl>
  </w:abstractNum>
  <w:abstractNum w:abstractNumId="160">
    <w:nsid w:val="16CF80F1"/>
    <w:multiLevelType w:val="hybridMultilevel"/>
    <w:lvl w:ilvl="0">
      <w:lvlJc w:val="left"/>
      <w:lvlText w:val="#"/>
      <w:numFmt w:val="bullet"/>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2023-08-26T06:07:37Z</dcterms:created>
  <dcterms:modified xsi:type="dcterms:W3CDTF">2023-08-26T06:07:37Z</dcterms:modified>
</cp:coreProperties>
</file>