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4"/>
          <w:szCs w:val="24"/>
          <w:color w:val="auto"/>
        </w:rPr>
      </w:pPr>
    </w:p>
    <w:p>
      <w:pPr>
        <w:jc w:val="center"/>
        <w:ind w:left="440" w:right="40"/>
        <w:spacing w:after="0" w:line="227" w:lineRule="auto"/>
        <w:rPr>
          <w:sz w:val="20"/>
          <w:szCs w:val="20"/>
          <w:color w:val="auto"/>
        </w:rPr>
      </w:pPr>
      <w:r>
        <w:rPr>
          <w:rFonts w:ascii="Arial" w:cs="Arial" w:eastAsia="Arial" w:hAnsi="Arial"/>
          <w:sz w:val="13"/>
          <w:szCs w:val="13"/>
          <w:b w:val="1"/>
          <w:bCs w:val="1"/>
          <w:color w:val="auto"/>
        </w:rPr>
        <w:t>As confidentially submitted with the Securities and Exchange Commission on July 31, 2023 as Amendment No. 2 to the draft registration statement submitted on April 28, 2023. This Amendment No. 2 has not been publicly filed with the Securities and Exchange Commission and all information herein remains confidential.</w:t>
      </w:r>
    </w:p>
    <w:p>
      <w:pPr>
        <w:spacing w:after="0" w:line="1" w:lineRule="exact"/>
        <w:rPr>
          <w:sz w:val="24"/>
          <w:szCs w:val="24"/>
          <w:color w:val="auto"/>
        </w:rPr>
      </w:pPr>
    </w:p>
    <w:p>
      <w:pPr>
        <w:ind w:left="9040"/>
        <w:spacing w:after="0"/>
        <w:rPr>
          <w:sz w:val="20"/>
          <w:szCs w:val="20"/>
          <w:color w:val="auto"/>
        </w:rPr>
      </w:pPr>
      <w:r>
        <w:rPr>
          <w:rFonts w:ascii="Arial" w:cs="Arial" w:eastAsia="Arial" w:hAnsi="Arial"/>
          <w:sz w:val="13"/>
          <w:szCs w:val="13"/>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F-1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Arm Holdings Limited</w:t>
      </w:r>
      <w:r>
        <w:rPr>
          <w:rFonts w:ascii="Arial" w:cs="Arial" w:eastAsia="Arial" w:hAnsi="Arial"/>
          <w:sz w:val="53"/>
          <w:szCs w:val="53"/>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31750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3" w:lineRule="exact"/>
        <w:rPr>
          <w:sz w:val="24"/>
          <w:szCs w:val="24"/>
          <w:color w:val="auto"/>
        </w:rPr>
      </w:pPr>
    </w:p>
    <w:tbl>
      <w:tblPr>
        <w:tblLayout w:type="fixed"/>
        <w:tblInd w:w="1220" w:type="dxa"/>
        <w:tblCellMar>
          <w:top w:w="0" w:type="dxa"/>
          <w:left w:w="0" w:type="dxa"/>
          <w:bottom w:w="0" w:type="dxa"/>
          <w:right w:w="0" w:type="dxa"/>
        </w:tblCellMar>
      </w:tblPr>
      <w:tr>
        <w:trPr>
          <w:trHeight w:val="149"/>
        </w:trPr>
        <w:tc>
          <w:tcPr>
            <w:tcW w:w="1640" w:type="dxa"/>
            <w:vAlign w:val="bottom"/>
          </w:tcPr>
          <w:p>
            <w:pPr>
              <w:jc w:val="center"/>
              <w:ind w:right="59"/>
              <w:spacing w:after="0"/>
              <w:rPr>
                <w:sz w:val="20"/>
                <w:szCs w:val="20"/>
                <w:color w:val="auto"/>
              </w:rPr>
            </w:pPr>
            <w:r>
              <w:rPr>
                <w:rFonts w:ascii="Arial" w:cs="Arial" w:eastAsia="Arial" w:hAnsi="Arial"/>
                <w:sz w:val="13"/>
                <w:szCs w:val="13"/>
                <w:b w:val="1"/>
                <w:bCs w:val="1"/>
                <w:color w:val="auto"/>
                <w:w w:val="87"/>
              </w:rPr>
              <w:t>England and Wales</w:t>
            </w:r>
          </w:p>
        </w:tc>
        <w:tc>
          <w:tcPr>
            <w:tcW w:w="3920" w:type="dxa"/>
            <w:vAlign w:val="bottom"/>
            <w:gridSpan w:val="2"/>
          </w:tcPr>
          <w:p>
            <w:pPr>
              <w:jc w:val="right"/>
              <w:ind w:right="858"/>
              <w:spacing w:after="0"/>
              <w:rPr>
                <w:sz w:val="20"/>
                <w:szCs w:val="20"/>
                <w:color w:val="auto"/>
              </w:rPr>
            </w:pPr>
            <w:r>
              <w:rPr>
                <w:rFonts w:ascii="Arial" w:cs="Arial" w:eastAsia="Arial" w:hAnsi="Arial"/>
                <w:sz w:val="13"/>
                <w:szCs w:val="13"/>
                <w:b w:val="1"/>
                <w:bCs w:val="1"/>
                <w:color w:val="auto"/>
              </w:rPr>
              <w:t>3674</w:t>
            </w:r>
          </w:p>
        </w:tc>
        <w:tc>
          <w:tcPr>
            <w:tcW w:w="1660" w:type="dxa"/>
            <w:vAlign w:val="bottom"/>
          </w:tcPr>
          <w:p>
            <w:pPr>
              <w:spacing w:after="0"/>
              <w:rPr>
                <w:sz w:val="13"/>
                <w:szCs w:val="13"/>
                <w:color w:val="auto"/>
              </w:rPr>
            </w:pPr>
          </w:p>
        </w:tc>
        <w:tc>
          <w:tcPr>
            <w:tcW w:w="1700" w:type="dxa"/>
            <w:vAlign w:val="bottom"/>
          </w:tcPr>
          <w:p>
            <w:pPr>
              <w:jc w:val="center"/>
              <w:ind w:left="99"/>
              <w:spacing w:after="0"/>
              <w:rPr>
                <w:sz w:val="20"/>
                <w:szCs w:val="20"/>
                <w:color w:val="auto"/>
              </w:rPr>
            </w:pPr>
            <w:r>
              <w:rPr>
                <w:rFonts w:ascii="Arial" w:cs="Arial" w:eastAsia="Arial" w:hAnsi="Arial"/>
                <w:sz w:val="13"/>
                <w:szCs w:val="13"/>
                <w:b w:val="1"/>
                <w:bCs w:val="1"/>
                <w:color w:val="auto"/>
                <w:w w:val="87"/>
              </w:rPr>
              <w:t>Not applicable</w:t>
            </w:r>
          </w:p>
        </w:tc>
      </w:tr>
      <w:tr>
        <w:trPr>
          <w:trHeight w:val="122"/>
        </w:trPr>
        <w:tc>
          <w:tcPr>
            <w:tcW w:w="164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1600" w:type="dxa"/>
            <w:vAlign w:val="bottom"/>
          </w:tcPr>
          <w:p>
            <w:pPr>
              <w:spacing w:after="0"/>
              <w:rPr>
                <w:sz w:val="10"/>
                <w:szCs w:val="10"/>
                <w:color w:val="auto"/>
              </w:rPr>
            </w:pPr>
          </w:p>
        </w:tc>
        <w:tc>
          <w:tcPr>
            <w:tcW w:w="3980" w:type="dxa"/>
            <w:vAlign w:val="bottom"/>
            <w:gridSpan w:val="2"/>
          </w:tcPr>
          <w:p>
            <w:pPr>
              <w:jc w:val="center"/>
              <w:ind w:right="1420"/>
              <w:spacing w:after="0" w:line="122" w:lineRule="exact"/>
              <w:rPr>
                <w:sz w:val="20"/>
                <w:szCs w:val="20"/>
                <w:color w:val="auto"/>
              </w:rPr>
            </w:pPr>
            <w:r>
              <w:rPr>
                <w:rFonts w:ascii="Arial" w:cs="Arial" w:eastAsia="Arial" w:hAnsi="Arial"/>
                <w:sz w:val="11"/>
                <w:szCs w:val="11"/>
                <w:b w:val="1"/>
                <w:bCs w:val="1"/>
                <w:color w:val="auto"/>
                <w:w w:val="91"/>
              </w:rPr>
              <w:t>(Primary Standard Industrial</w:t>
            </w:r>
          </w:p>
        </w:tc>
        <w:tc>
          <w:tcPr>
            <w:tcW w:w="1700" w:type="dxa"/>
            <w:vAlign w:val="bottom"/>
          </w:tcPr>
          <w:p>
            <w:pPr>
              <w:jc w:val="center"/>
              <w:ind w:left="99"/>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1640" w:type="dxa"/>
            <w:vAlign w:val="bottom"/>
          </w:tcPr>
          <w:p>
            <w:pPr>
              <w:jc w:val="center"/>
              <w:ind w:right="39"/>
              <w:spacing w:after="0"/>
              <w:rPr>
                <w:sz w:val="20"/>
                <w:szCs w:val="20"/>
                <w:color w:val="auto"/>
              </w:rPr>
            </w:pPr>
            <w:r>
              <w:rPr>
                <w:rFonts w:ascii="Arial" w:cs="Arial" w:eastAsia="Arial" w:hAnsi="Arial"/>
                <w:sz w:val="11"/>
                <w:szCs w:val="11"/>
                <w:b w:val="1"/>
                <w:bCs w:val="1"/>
                <w:color w:val="auto"/>
                <w:w w:val="90"/>
              </w:rPr>
              <w:t>incorporation or organization)</w:t>
            </w:r>
          </w:p>
        </w:tc>
        <w:tc>
          <w:tcPr>
            <w:tcW w:w="1600" w:type="dxa"/>
            <w:vAlign w:val="bottom"/>
          </w:tcPr>
          <w:p>
            <w:pPr>
              <w:spacing w:after="0"/>
              <w:rPr>
                <w:sz w:val="12"/>
                <w:szCs w:val="12"/>
                <w:color w:val="auto"/>
              </w:rPr>
            </w:pPr>
          </w:p>
        </w:tc>
        <w:tc>
          <w:tcPr>
            <w:tcW w:w="3980" w:type="dxa"/>
            <w:vAlign w:val="bottom"/>
            <w:gridSpan w:val="2"/>
          </w:tcPr>
          <w:p>
            <w:pPr>
              <w:jc w:val="center"/>
              <w:ind w:right="1440"/>
              <w:spacing w:after="0"/>
              <w:rPr>
                <w:sz w:val="20"/>
                <w:szCs w:val="20"/>
                <w:color w:val="auto"/>
              </w:rPr>
            </w:pPr>
            <w:r>
              <w:rPr>
                <w:rFonts w:ascii="Arial" w:cs="Arial" w:eastAsia="Arial" w:hAnsi="Arial"/>
                <w:sz w:val="11"/>
                <w:szCs w:val="11"/>
                <w:b w:val="1"/>
                <w:bCs w:val="1"/>
                <w:color w:val="auto"/>
                <w:w w:val="89"/>
              </w:rPr>
              <w:t>Classification Code Number)</w:t>
            </w:r>
          </w:p>
        </w:tc>
        <w:tc>
          <w:tcPr>
            <w:tcW w:w="1700" w:type="dxa"/>
            <w:vAlign w:val="bottom"/>
          </w:tcPr>
          <w:p>
            <w:pPr>
              <w:jc w:val="center"/>
              <w:ind w:left="99"/>
              <w:spacing w:after="0"/>
              <w:rPr>
                <w:sz w:val="20"/>
                <w:szCs w:val="20"/>
                <w:color w:val="auto"/>
              </w:rPr>
            </w:pPr>
            <w:r>
              <w:rPr>
                <w:rFonts w:ascii="Arial" w:cs="Arial" w:eastAsia="Arial" w:hAnsi="Arial"/>
                <w:sz w:val="11"/>
                <w:szCs w:val="11"/>
                <w:b w:val="1"/>
                <w:bCs w:val="1"/>
                <w:color w:val="auto"/>
                <w:w w:val="90"/>
              </w:rPr>
              <w:t>Identification Number)</w:t>
            </w:r>
          </w:p>
        </w:tc>
      </w:tr>
      <w:tr>
        <w:trPr>
          <w:trHeight w:val="193"/>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88"/>
              </w:rPr>
              <w:t>110 Fulbourn Road</w:t>
            </w:r>
          </w:p>
        </w:tc>
        <w:tc>
          <w:tcPr>
            <w:tcW w:w="1700" w:type="dxa"/>
            <w:vAlign w:val="bottom"/>
          </w:tcPr>
          <w:p>
            <w:pPr>
              <w:spacing w:after="0"/>
              <w:rPr>
                <w:sz w:val="16"/>
                <w:szCs w:val="16"/>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60"/>
              <w:spacing w:after="0" w:line="135" w:lineRule="exact"/>
              <w:rPr>
                <w:sz w:val="20"/>
                <w:szCs w:val="20"/>
                <w:color w:val="auto"/>
              </w:rPr>
            </w:pPr>
            <w:r>
              <w:rPr>
                <w:rFonts w:ascii="Arial" w:cs="Arial" w:eastAsia="Arial" w:hAnsi="Arial"/>
                <w:sz w:val="13"/>
                <w:szCs w:val="13"/>
                <w:b w:val="1"/>
                <w:bCs w:val="1"/>
                <w:color w:val="auto"/>
                <w:w w:val="89"/>
              </w:rPr>
              <w:t>Cambridge CB1 9NJ</w:t>
            </w:r>
          </w:p>
        </w:tc>
        <w:tc>
          <w:tcPr>
            <w:tcW w:w="170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9"/>
              </w:rPr>
              <w:t>United Kingdom</w:t>
            </w:r>
          </w:p>
        </w:tc>
        <w:tc>
          <w:tcPr>
            <w:tcW w:w="1700" w:type="dxa"/>
            <w:vAlign w:val="bottom"/>
          </w:tcPr>
          <w:p>
            <w:pPr>
              <w:spacing w:after="0"/>
              <w:rPr>
                <w:sz w:val="11"/>
                <w:szCs w:val="11"/>
                <w:color w:val="auto"/>
              </w:rPr>
            </w:pPr>
          </w:p>
        </w:tc>
      </w:tr>
      <w:tr>
        <w:trPr>
          <w:trHeight w:val="139"/>
        </w:trPr>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8"/>
              </w:rPr>
              <w:t>Tel: +44 (1223) 400 400</w:t>
            </w:r>
          </w:p>
        </w:tc>
        <w:tc>
          <w:tcPr>
            <w:tcW w:w="1700" w:type="dxa"/>
            <w:vAlign w:val="bottom"/>
          </w:tcPr>
          <w:p>
            <w:pPr>
              <w:spacing w:after="0"/>
              <w:rPr>
                <w:sz w:val="12"/>
                <w:szCs w:val="12"/>
                <w:color w:val="auto"/>
              </w:rPr>
            </w:pPr>
          </w:p>
        </w:tc>
      </w:tr>
      <w:tr>
        <w:trPr>
          <w:trHeight w:val="140"/>
        </w:trPr>
        <w:tc>
          <w:tcPr>
            <w:tcW w:w="164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(Address, including zip code, and telephone number, including area code, of Registrant’s principal executive offices)</w:t>
            </w:r>
          </w:p>
        </w:tc>
        <w:tc>
          <w:tcPr>
            <w:tcW w:w="1700" w:type="dxa"/>
            <w:vAlign w:val="bottom"/>
          </w:tcPr>
          <w:p>
            <w:pPr>
              <w:spacing w:after="0"/>
              <w:rPr>
                <w:sz w:val="12"/>
                <w:szCs w:val="12"/>
                <w:color w:val="auto"/>
              </w:rPr>
            </w:pPr>
          </w:p>
        </w:tc>
      </w:tr>
      <w:tr>
        <w:trPr>
          <w:trHeight w:val="184"/>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78"/>
        </w:trPr>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80" w:type="dxa"/>
            <w:vAlign w:val="bottom"/>
            <w:gridSpan w:val="2"/>
          </w:tcPr>
          <w:p>
            <w:pPr>
              <w:jc w:val="center"/>
              <w:ind w:right="1660"/>
              <w:spacing w:after="0"/>
              <w:rPr>
                <w:sz w:val="20"/>
                <w:szCs w:val="20"/>
                <w:color w:val="auto"/>
              </w:rPr>
            </w:pPr>
            <w:r>
              <w:rPr>
                <w:rFonts w:ascii="Arial" w:cs="Arial" w:eastAsia="Arial" w:hAnsi="Arial"/>
                <w:sz w:val="13"/>
                <w:szCs w:val="13"/>
                <w:b w:val="1"/>
                <w:bCs w:val="1"/>
                <w:color w:val="auto"/>
                <w:w w:val="93"/>
              </w:rPr>
              <w:t>Arm, Inc.</w:t>
            </w:r>
          </w:p>
        </w:tc>
        <w:tc>
          <w:tcPr>
            <w:tcW w:w="1700" w:type="dxa"/>
            <w:vAlign w:val="bottom"/>
          </w:tcPr>
          <w:p>
            <w:pPr>
              <w:spacing w:after="0"/>
              <w:rPr>
                <w:sz w:val="15"/>
                <w:szCs w:val="15"/>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60"/>
              <w:spacing w:after="0" w:line="135" w:lineRule="exact"/>
              <w:rPr>
                <w:sz w:val="20"/>
                <w:szCs w:val="20"/>
                <w:color w:val="auto"/>
              </w:rPr>
            </w:pPr>
            <w:r>
              <w:rPr>
                <w:rFonts w:ascii="Arial" w:cs="Arial" w:eastAsia="Arial" w:hAnsi="Arial"/>
                <w:sz w:val="13"/>
                <w:szCs w:val="13"/>
                <w:b w:val="1"/>
                <w:bCs w:val="1"/>
                <w:color w:val="auto"/>
                <w:w w:val="87"/>
              </w:rPr>
              <w:t>120 Rose Orchard Way</w:t>
            </w:r>
          </w:p>
        </w:tc>
        <w:tc>
          <w:tcPr>
            <w:tcW w:w="1700" w:type="dxa"/>
            <w:vAlign w:val="bottom"/>
          </w:tcPr>
          <w:p>
            <w:pPr>
              <w:spacing w:after="0"/>
              <w:rPr>
                <w:sz w:val="11"/>
                <w:szCs w:val="11"/>
                <w:color w:val="auto"/>
              </w:rPr>
            </w:pPr>
          </w:p>
        </w:tc>
      </w:tr>
      <w:tr>
        <w:trPr>
          <w:trHeight w:val="135"/>
        </w:trPr>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80" w:type="dxa"/>
            <w:vAlign w:val="bottom"/>
            <w:gridSpan w:val="2"/>
          </w:tcPr>
          <w:p>
            <w:pPr>
              <w:jc w:val="center"/>
              <w:ind w:right="1640"/>
              <w:spacing w:after="0" w:line="135" w:lineRule="exact"/>
              <w:rPr>
                <w:sz w:val="20"/>
                <w:szCs w:val="20"/>
                <w:color w:val="auto"/>
              </w:rPr>
            </w:pPr>
            <w:r>
              <w:rPr>
                <w:rFonts w:ascii="Arial" w:cs="Arial" w:eastAsia="Arial" w:hAnsi="Arial"/>
                <w:sz w:val="13"/>
                <w:szCs w:val="13"/>
                <w:b w:val="1"/>
                <w:bCs w:val="1"/>
                <w:color w:val="auto"/>
                <w:w w:val="86"/>
              </w:rPr>
              <w:t>San Jose, CA 95134</w:t>
            </w:r>
          </w:p>
        </w:tc>
        <w:tc>
          <w:tcPr>
            <w:tcW w:w="1700" w:type="dxa"/>
            <w:vAlign w:val="bottom"/>
          </w:tcPr>
          <w:p>
            <w:pPr>
              <w:spacing w:after="0"/>
              <w:rPr>
                <w:sz w:val="11"/>
                <w:szCs w:val="11"/>
                <w:color w:val="auto"/>
              </w:rPr>
            </w:pPr>
          </w:p>
        </w:tc>
      </w:tr>
      <w:tr>
        <w:trPr>
          <w:trHeight w:val="139"/>
        </w:trPr>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80" w:type="dxa"/>
            <w:vAlign w:val="bottom"/>
            <w:gridSpan w:val="2"/>
          </w:tcPr>
          <w:p>
            <w:pPr>
              <w:jc w:val="center"/>
              <w:ind w:right="1660"/>
              <w:spacing w:after="0" w:line="139" w:lineRule="exact"/>
              <w:rPr>
                <w:sz w:val="20"/>
                <w:szCs w:val="20"/>
                <w:color w:val="auto"/>
              </w:rPr>
            </w:pPr>
            <w:r>
              <w:rPr>
                <w:rFonts w:ascii="Arial" w:cs="Arial" w:eastAsia="Arial" w:hAnsi="Arial"/>
                <w:sz w:val="13"/>
                <w:szCs w:val="13"/>
                <w:b w:val="1"/>
                <w:bCs w:val="1"/>
                <w:color w:val="auto"/>
                <w:w w:val="89"/>
              </w:rPr>
              <w:t>Tel: +1 (408) 576-1500</w:t>
            </w:r>
          </w:p>
        </w:tc>
        <w:tc>
          <w:tcPr>
            <w:tcW w:w="1700" w:type="dxa"/>
            <w:vAlign w:val="bottom"/>
          </w:tcPr>
          <w:p>
            <w:pPr>
              <w:spacing w:after="0"/>
              <w:rPr>
                <w:sz w:val="12"/>
                <w:szCs w:val="12"/>
                <w:color w:val="auto"/>
              </w:rPr>
            </w:pPr>
          </w:p>
        </w:tc>
      </w:tr>
      <w:tr>
        <w:trPr>
          <w:trHeight w:val="140"/>
        </w:trPr>
        <w:tc>
          <w:tcPr>
            <w:tcW w:w="1640" w:type="dxa"/>
            <w:vAlign w:val="bottom"/>
          </w:tcPr>
          <w:p>
            <w:pPr>
              <w:spacing w:after="0"/>
              <w:rPr>
                <w:sz w:val="12"/>
                <w:szCs w:val="12"/>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6"/>
              </w:rPr>
              <w:t>(Name, address, including zip code, and telephone number, including area code, of agent for service)</w:t>
            </w:r>
          </w:p>
        </w:tc>
        <w:tc>
          <w:tcPr>
            <w:tcW w:w="1700" w:type="dxa"/>
            <w:vAlign w:val="bottom"/>
          </w:tcPr>
          <w:p>
            <w:pPr>
              <w:spacing w:after="0"/>
              <w:rPr>
                <w:sz w:val="12"/>
                <w:szCs w:val="12"/>
                <w:color w:val="auto"/>
              </w:rPr>
            </w:pPr>
          </w:p>
        </w:tc>
      </w:tr>
      <w:tr>
        <w:trPr>
          <w:trHeight w:val="197"/>
        </w:trPr>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7"/>
        </w:trPr>
        <w:tc>
          <w:tcPr>
            <w:tcW w:w="1640" w:type="dxa"/>
            <w:vAlign w:val="bottom"/>
          </w:tcPr>
          <w:p>
            <w:pPr>
              <w:spacing w:after="0"/>
              <w:rPr>
                <w:sz w:val="18"/>
                <w:szCs w:val="18"/>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3"/>
                <w:szCs w:val="13"/>
                <w:b w:val="1"/>
                <w:bCs w:val="1"/>
                <w:i w:val="1"/>
                <w:iCs w:val="1"/>
                <w:color w:val="auto"/>
                <w:w w:val="83"/>
              </w:rPr>
              <w:t>Copies of all communications, including communications sent to agent for service, should be sent to:</w:t>
            </w:r>
          </w:p>
        </w:tc>
        <w:tc>
          <w:tcPr>
            <w:tcW w:w="1700" w:type="dxa"/>
            <w:vAlign w:val="bottom"/>
          </w:tcPr>
          <w:p>
            <w:pPr>
              <w:spacing w:after="0"/>
              <w:rPr>
                <w:sz w:val="18"/>
                <w:szCs w:val="18"/>
                <w:color w:val="auto"/>
              </w:rPr>
            </w:pPr>
          </w:p>
        </w:tc>
      </w:tr>
      <w:tr>
        <w:trPr>
          <w:trHeight w:val="187"/>
        </w:trPr>
        <w:tc>
          <w:tcPr>
            <w:tcW w:w="1640" w:type="dxa"/>
            <w:vAlign w:val="bottom"/>
          </w:tcPr>
          <w:p>
            <w:pPr>
              <w:jc w:val="center"/>
              <w:ind w:right="39"/>
              <w:spacing w:after="0"/>
              <w:rPr>
                <w:sz w:val="20"/>
                <w:szCs w:val="20"/>
                <w:color w:val="auto"/>
              </w:rPr>
            </w:pPr>
            <w:r>
              <w:rPr>
                <w:rFonts w:ascii="Arial" w:cs="Arial" w:eastAsia="Arial" w:hAnsi="Arial"/>
                <w:sz w:val="13"/>
                <w:szCs w:val="13"/>
                <w:b w:val="1"/>
                <w:bCs w:val="1"/>
                <w:color w:val="auto"/>
                <w:w w:val="87"/>
              </w:rPr>
              <w:t>Justin R. Salon</w:t>
            </w:r>
          </w:p>
        </w:tc>
        <w:tc>
          <w:tcPr>
            <w:tcW w:w="1600" w:type="dxa"/>
            <w:vAlign w:val="bottom"/>
          </w:tcPr>
          <w:p>
            <w:pPr>
              <w:spacing w:after="0"/>
              <w:rPr>
                <w:sz w:val="16"/>
                <w:szCs w:val="16"/>
                <w:color w:val="auto"/>
              </w:rPr>
            </w:pPr>
          </w:p>
        </w:tc>
        <w:tc>
          <w:tcPr>
            <w:tcW w:w="3980" w:type="dxa"/>
            <w:vAlign w:val="bottom"/>
            <w:gridSpan w:val="2"/>
          </w:tcPr>
          <w:p>
            <w:pPr>
              <w:jc w:val="center"/>
              <w:ind w:right="1420"/>
              <w:spacing w:after="0"/>
              <w:rPr>
                <w:sz w:val="20"/>
                <w:szCs w:val="20"/>
                <w:color w:val="auto"/>
              </w:rPr>
            </w:pPr>
            <w:r>
              <w:rPr>
                <w:rFonts w:ascii="Arial" w:cs="Arial" w:eastAsia="Arial" w:hAnsi="Arial"/>
                <w:sz w:val="13"/>
                <w:szCs w:val="13"/>
                <w:b w:val="1"/>
                <w:bCs w:val="1"/>
                <w:color w:val="auto"/>
                <w:w w:val="86"/>
              </w:rPr>
              <w:t>Kenneth A. Siegel</w:t>
            </w:r>
          </w:p>
        </w:tc>
        <w:tc>
          <w:tcPr>
            <w:tcW w:w="1700" w:type="dxa"/>
            <w:vAlign w:val="bottom"/>
          </w:tcPr>
          <w:p>
            <w:pPr>
              <w:jc w:val="center"/>
              <w:ind w:left="99"/>
              <w:spacing w:after="0"/>
              <w:rPr>
                <w:sz w:val="20"/>
                <w:szCs w:val="20"/>
                <w:color w:val="auto"/>
              </w:rPr>
            </w:pPr>
            <w:r>
              <w:rPr>
                <w:rFonts w:ascii="Arial" w:cs="Arial" w:eastAsia="Arial" w:hAnsi="Arial"/>
                <w:sz w:val="13"/>
                <w:szCs w:val="13"/>
                <w:b w:val="1"/>
                <w:bCs w:val="1"/>
                <w:color w:val="auto"/>
                <w:w w:val="89"/>
              </w:rPr>
              <w:t>Richard D. Truesdell, Jr.</w:t>
            </w:r>
          </w:p>
        </w:tc>
      </w:tr>
      <w:tr>
        <w:trPr>
          <w:trHeight w:val="135"/>
        </w:trPr>
        <w:tc>
          <w:tcPr>
            <w:tcW w:w="1640" w:type="dxa"/>
            <w:vAlign w:val="bottom"/>
          </w:tcPr>
          <w:p>
            <w:pPr>
              <w:jc w:val="center"/>
              <w:ind w:right="59"/>
              <w:spacing w:after="0" w:line="135" w:lineRule="exact"/>
              <w:rPr>
                <w:sz w:val="20"/>
                <w:szCs w:val="20"/>
                <w:color w:val="auto"/>
              </w:rPr>
            </w:pPr>
            <w:r>
              <w:rPr>
                <w:rFonts w:ascii="Arial" w:cs="Arial" w:eastAsia="Arial" w:hAnsi="Arial"/>
                <w:sz w:val="13"/>
                <w:szCs w:val="13"/>
                <w:b w:val="1"/>
                <w:bCs w:val="1"/>
                <w:color w:val="auto"/>
                <w:w w:val="86"/>
              </w:rPr>
              <w:t>R. John Hensley</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3"/>
              </w:rPr>
              <w:t>Jesse S. Gillespie</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7"/>
              </w:rPr>
              <w:t>Derek J. Dostal</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6"/>
              </w:rPr>
              <w:t>John T. Owen</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91"/>
              </w:rPr>
              <w:t>Morrison &amp; Foerster LLP</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91"/>
              </w:rPr>
              <w:t>Davis Polk &amp; Wardwell LLP</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93"/>
              </w:rPr>
              <w:t>Morrison &amp; Foerster LLP</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9"/>
              </w:rPr>
              <w:t>Shin-Marunouchi Building, 29th Floor</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5"/>
              </w:rPr>
              <w:t>450 Lexington Avenue</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8"/>
              </w:rPr>
              <w:t>2100 L Street, NW, Suite 900</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90"/>
              </w:rPr>
              <w:t>5-1, Marunouchi 1-Chome</w:t>
            </w:r>
          </w:p>
        </w:tc>
        <w:tc>
          <w:tcPr>
            <w:tcW w:w="1700" w:type="dxa"/>
            <w:vAlign w:val="bottom"/>
          </w:tcPr>
          <w:p>
            <w:pPr>
              <w:jc w:val="center"/>
              <w:ind w:left="119"/>
              <w:spacing w:after="0" w:line="135" w:lineRule="exact"/>
              <w:rPr>
                <w:sz w:val="20"/>
                <w:szCs w:val="20"/>
                <w:color w:val="auto"/>
              </w:rPr>
            </w:pPr>
            <w:r>
              <w:rPr>
                <w:rFonts w:ascii="Arial" w:cs="Arial" w:eastAsia="Arial" w:hAnsi="Arial"/>
                <w:sz w:val="13"/>
                <w:szCs w:val="13"/>
                <w:b w:val="1"/>
                <w:bCs w:val="1"/>
                <w:color w:val="auto"/>
                <w:w w:val="89"/>
              </w:rPr>
              <w:t>New York, New York 10017</w:t>
            </w:r>
          </w:p>
        </w:tc>
      </w:tr>
      <w:tr>
        <w:trPr>
          <w:trHeight w:val="135"/>
        </w:trPr>
        <w:tc>
          <w:tcPr>
            <w:tcW w:w="164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8"/>
              </w:rPr>
              <w:t>Washington, D.C. 20037</w:t>
            </w:r>
          </w:p>
        </w:tc>
        <w:tc>
          <w:tcPr>
            <w:tcW w:w="1600" w:type="dxa"/>
            <w:vAlign w:val="bottom"/>
          </w:tcPr>
          <w:p>
            <w:pPr>
              <w:spacing w:after="0"/>
              <w:rPr>
                <w:sz w:val="11"/>
                <w:szCs w:val="11"/>
                <w:color w:val="auto"/>
              </w:rPr>
            </w:pPr>
          </w:p>
        </w:tc>
        <w:tc>
          <w:tcPr>
            <w:tcW w:w="3980" w:type="dxa"/>
            <w:vAlign w:val="bottom"/>
            <w:gridSpan w:val="2"/>
          </w:tcPr>
          <w:p>
            <w:pPr>
              <w:jc w:val="center"/>
              <w:ind w:right="1420"/>
              <w:spacing w:after="0" w:line="135" w:lineRule="exact"/>
              <w:rPr>
                <w:sz w:val="20"/>
                <w:szCs w:val="20"/>
                <w:color w:val="auto"/>
              </w:rPr>
            </w:pPr>
            <w:r>
              <w:rPr>
                <w:rFonts w:ascii="Arial" w:cs="Arial" w:eastAsia="Arial" w:hAnsi="Arial"/>
                <w:sz w:val="13"/>
                <w:szCs w:val="13"/>
                <w:b w:val="1"/>
                <w:bCs w:val="1"/>
                <w:color w:val="auto"/>
                <w:w w:val="87"/>
              </w:rPr>
              <w:t>Chiyoda-ku, Tokyo, Japan 100-6529</w:t>
            </w:r>
          </w:p>
        </w:tc>
        <w:tc>
          <w:tcPr>
            <w:tcW w:w="1700" w:type="dxa"/>
            <w:vAlign w:val="bottom"/>
          </w:tcPr>
          <w:p>
            <w:pPr>
              <w:jc w:val="center"/>
              <w:ind w:left="99"/>
              <w:spacing w:after="0" w:line="135" w:lineRule="exact"/>
              <w:rPr>
                <w:sz w:val="20"/>
                <w:szCs w:val="20"/>
                <w:color w:val="auto"/>
              </w:rPr>
            </w:pPr>
            <w:r>
              <w:rPr>
                <w:rFonts w:ascii="Arial" w:cs="Arial" w:eastAsia="Arial" w:hAnsi="Arial"/>
                <w:sz w:val="13"/>
                <w:szCs w:val="13"/>
                <w:b w:val="1"/>
                <w:bCs w:val="1"/>
                <w:color w:val="auto"/>
                <w:w w:val="87"/>
              </w:rPr>
              <w:t>+1 (212) 450-4000</w:t>
            </w:r>
          </w:p>
        </w:tc>
      </w:tr>
      <w:tr>
        <w:trPr>
          <w:trHeight w:val="164"/>
        </w:trPr>
        <w:tc>
          <w:tcPr>
            <w:tcW w:w="1640" w:type="dxa"/>
            <w:vAlign w:val="bottom"/>
          </w:tcPr>
          <w:p>
            <w:pPr>
              <w:jc w:val="center"/>
              <w:ind w:right="59"/>
              <w:spacing w:after="0"/>
              <w:rPr>
                <w:sz w:val="20"/>
                <w:szCs w:val="20"/>
                <w:color w:val="auto"/>
              </w:rPr>
            </w:pPr>
            <w:r>
              <w:rPr>
                <w:rFonts w:ascii="Arial" w:cs="Arial" w:eastAsia="Arial" w:hAnsi="Arial"/>
                <w:sz w:val="13"/>
                <w:szCs w:val="13"/>
                <w:b w:val="1"/>
                <w:bCs w:val="1"/>
                <w:color w:val="auto"/>
                <w:w w:val="89"/>
              </w:rPr>
              <w:t>+1 (202) 887-1500</w:t>
            </w:r>
          </w:p>
        </w:tc>
        <w:tc>
          <w:tcPr>
            <w:tcW w:w="3920" w:type="dxa"/>
            <w:vAlign w:val="bottom"/>
            <w:gridSpan w:val="2"/>
          </w:tcPr>
          <w:p>
            <w:pPr>
              <w:jc w:val="right"/>
              <w:ind w:right="538"/>
              <w:spacing w:after="0"/>
              <w:rPr>
                <w:sz w:val="20"/>
                <w:szCs w:val="20"/>
                <w:color w:val="auto"/>
              </w:rPr>
            </w:pPr>
            <w:r>
              <w:rPr>
                <w:rFonts w:ascii="Arial" w:cs="Arial" w:eastAsia="Arial" w:hAnsi="Arial"/>
                <w:sz w:val="13"/>
                <w:szCs w:val="13"/>
                <w:b w:val="1"/>
                <w:bCs w:val="1"/>
                <w:color w:val="auto"/>
              </w:rPr>
              <w:t>+81-3 3214 6522</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2"/>
        </w:trPr>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1"/>
        </w:trPr>
        <w:tc>
          <w:tcPr>
            <w:tcW w:w="1640" w:type="dxa"/>
            <w:vAlign w:val="bottom"/>
          </w:tcPr>
          <w:p>
            <w:pPr>
              <w:spacing w:after="0"/>
              <w:rPr>
                <w:sz w:val="16"/>
                <w:szCs w:val="16"/>
                <w:color w:val="auto"/>
              </w:rPr>
            </w:pPr>
          </w:p>
        </w:tc>
        <w:tc>
          <w:tcPr>
            <w:tcW w:w="55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5"/>
              </w:rPr>
              <w:t>Approximate date of commencement of proposed sale to public:</w:t>
            </w:r>
          </w:p>
        </w:tc>
        <w:tc>
          <w:tcPr>
            <w:tcW w:w="1700" w:type="dxa"/>
            <w:vAlign w:val="bottom"/>
          </w:tcPr>
          <w:p>
            <w:pPr>
              <w:spacing w:after="0"/>
              <w:rPr>
                <w:sz w:val="16"/>
                <w:szCs w:val="16"/>
                <w:color w:val="auto"/>
              </w:rPr>
            </w:pPr>
          </w:p>
        </w:tc>
      </w:tr>
      <w:tr>
        <w:trPr>
          <w:trHeight w:val="164"/>
        </w:trPr>
        <w:tc>
          <w:tcPr>
            <w:tcW w:w="1640" w:type="dxa"/>
            <w:vAlign w:val="bottom"/>
          </w:tcPr>
          <w:p>
            <w:pPr>
              <w:spacing w:after="0"/>
              <w:rPr>
                <w:sz w:val="14"/>
                <w:szCs w:val="14"/>
                <w:color w:val="auto"/>
              </w:rPr>
            </w:pPr>
          </w:p>
        </w:tc>
        <w:tc>
          <w:tcPr>
            <w:tcW w:w="55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5"/>
              </w:rPr>
              <w:t>As soon as practicable after this registration statement becomes effective.</w:t>
            </w:r>
          </w:p>
        </w:tc>
        <w:tc>
          <w:tcPr>
            <w:tcW w:w="1700" w:type="dxa"/>
            <w:vAlign w:val="bottom"/>
          </w:tcPr>
          <w:p>
            <w:pPr>
              <w:spacing w:after="0"/>
              <w:rPr>
                <w:sz w:val="14"/>
                <w:szCs w:val="14"/>
                <w:color w:val="auto"/>
              </w:rPr>
            </w:pPr>
          </w:p>
        </w:tc>
      </w:tr>
    </w:tbl>
    <w:p>
      <w:pPr>
        <w:spacing w:after="0" w:line="23" w:lineRule="exact"/>
        <w:rPr>
          <w:sz w:val="24"/>
          <w:szCs w:val="24"/>
          <w:color w:val="auto"/>
        </w:rPr>
      </w:pPr>
    </w:p>
    <w:p>
      <w:pPr>
        <w:ind w:left="4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6" w:lineRule="exact"/>
        <w:rPr>
          <w:sz w:val="24"/>
          <w:szCs w:val="24"/>
          <w:color w:val="auto"/>
        </w:rPr>
      </w:pPr>
    </w:p>
    <w:p>
      <w:pPr>
        <w:ind w:left="120" w:right="80" w:firstLine="330"/>
        <w:spacing w:after="0" w:line="16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ind w:left="120" w:right="520" w:firstLine="33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3" w:lineRule="exact"/>
        <w:rPr>
          <w:sz w:val="24"/>
          <w:szCs w:val="24"/>
          <w:color w:val="auto"/>
        </w:rPr>
      </w:pPr>
    </w:p>
    <w:p>
      <w:pPr>
        <w:ind w:left="120" w:right="520" w:firstLine="330"/>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w:t>
      </w:r>
    </w:p>
    <w:p>
      <w:pPr>
        <w:spacing w:after="0" w:line="4" w:lineRule="exact"/>
        <w:rPr>
          <w:sz w:val="24"/>
          <w:szCs w:val="24"/>
          <w:color w:val="auto"/>
        </w:rPr>
      </w:pPr>
    </w:p>
    <w:p>
      <w:pPr>
        <w:ind w:left="9580"/>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96" w:lineRule="exact"/>
        <w:rPr>
          <w:sz w:val="24"/>
          <w:szCs w:val="24"/>
          <w:color w:val="auto"/>
        </w:rPr>
      </w:pPr>
    </w:p>
    <w:p>
      <w:pPr>
        <w:ind w:left="120" w:right="180" w:firstLine="330"/>
        <w:spacing w:after="0" w:line="164"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9" w:lineRule="exact"/>
        <w:rPr>
          <w:sz w:val="24"/>
          <w:szCs w:val="24"/>
          <w:color w:val="auto"/>
        </w:rPr>
      </w:pPr>
    </w:p>
    <w:p>
      <w:pPr>
        <w:ind w:left="120" w:right="80" w:firstLine="33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4"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7" w:lineRule="exact"/>
        <w:rPr>
          <w:sz w:val="24"/>
          <w:szCs w:val="24"/>
          <w:color w:val="auto"/>
        </w:rPr>
      </w:pPr>
    </w:p>
    <w:p>
      <w:pPr>
        <w:ind w:left="440" w:right="220" w:hanging="324"/>
        <w:spacing w:after="0" w:line="245" w:lineRule="auto"/>
        <w:tabs>
          <w:tab w:leader="none" w:pos="440" w:val="left"/>
        </w:tabs>
        <w:numPr>
          <w:ilvl w:val="0"/>
          <w:numId w:val="2"/>
        </w:numPr>
        <w:rPr>
          <w:rFonts w:ascii="Arial" w:cs="Arial" w:eastAsia="Arial" w:hAnsi="Arial"/>
          <w:sz w:val="12"/>
          <w:szCs w:val="12"/>
          <w:color w:val="auto"/>
        </w:rPr>
      </w:pPr>
      <w:r>
        <w:rPr>
          <w:rFonts w:ascii="Arial" w:cs="Arial" w:eastAsia="Arial" w:hAnsi="Arial"/>
          <w:sz w:val="12"/>
          <w:szCs w:val="12"/>
          <w:color w:val="auto"/>
        </w:rPr>
        <w:t>Arm Holdings Limited, a company with limited liability incorporated under the laws of England and Wales, will become the holding company of Arm Limited and will be the Registrant. We intend to alter the legal status of the Registrant under English law from a private limited company by re-registering as a public limited company and changing the name of the Registrant from Arm Holdings Limited to Arm Holdings plc prior to the completion of this offering. See the section titled “Corporate Reorganization” in the prospectus which forms a part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20"/>
        <w:spacing w:after="0" w:line="314" w:lineRule="auto"/>
        <w:rPr>
          <w:sz w:val="20"/>
          <w:szCs w:val="20"/>
          <w:color w:val="auto"/>
        </w:rPr>
      </w:pPr>
      <w:r>
        <w:rPr>
          <w:rFonts w:ascii="Arial" w:cs="Arial" w:eastAsia="Arial" w:hAnsi="Arial"/>
          <w:sz w:val="16"/>
          <w:szCs w:val="16"/>
          <w:b w:val="1"/>
          <w:bCs w:val="1"/>
          <w:color w:val="FF4338"/>
        </w:rPr>
        <w:t>The information contained in this prospectus is not complete and may be changed. The selling shareholder may not sell these securities until the registration statement filed with the Securities and Exchange Commission is effective. This prospectus is not an offer to sell these securities and the selling shareholder is not soliciting offers to buy these securities in any jurisdiction where the offer or sale is not permitted.</w:t>
      </w:r>
    </w:p>
    <w:p>
      <w:pPr>
        <w:sectPr>
          <w:pgSz w:w="11900" w:h="16838" w:orient="portrait"/>
          <w:cols w:equalWidth="0" w:num="1">
            <w:col w:w="11140"/>
          </w:cols>
          <w:pgMar w:left="320" w:top="459" w:right="439" w:bottom="1440" w:gutter="0" w:footer="0" w:header="0"/>
        </w:sectPr>
      </w:pPr>
    </w:p>
    <w:p>
      <w:pPr>
        <w:spacing w:after="0" w:line="79"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FF4338"/>
        </w:rPr>
        <w:t>Subject to Completion</w:t>
      </w:r>
    </w:p>
    <w:p>
      <w:pPr>
        <w:spacing w:after="0" w:line="49"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FF4338"/>
        </w:rPr>
        <w:t>Preliminary Prospectus dated</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FF4338"/>
        </w:rPr>
        <w:t>, 2023.</w:t>
      </w:r>
    </w:p>
    <w:p>
      <w:pPr>
        <w:spacing w:after="0" w:line="130" w:lineRule="exact"/>
        <w:rPr>
          <w:sz w:val="20"/>
          <w:szCs w:val="20"/>
          <w:color w:val="auto"/>
        </w:rPr>
      </w:pPr>
    </w:p>
    <w:p>
      <w:pPr>
        <w:sectPr>
          <w:pgSz w:w="11900" w:h="16838" w:orient="portrait"/>
          <w:cols w:equalWidth="0" w:num="2">
            <w:col w:w="6400" w:space="300"/>
            <w:col w:w="444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29"/>
          <w:szCs w:val="29"/>
          <w:b w:val="1"/>
          <w:bCs w:val="1"/>
          <w:color w:val="auto"/>
        </w:rPr>
        <w:t>American Depositary Shares</w:t>
      </w:r>
    </w:p>
    <w:p>
      <w:pPr>
        <w:spacing w:after="0" w:line="36" w:lineRule="exact"/>
        <w:rPr>
          <w:sz w:val="20"/>
          <w:szCs w:val="20"/>
          <w:color w:val="auto"/>
        </w:rPr>
      </w:pPr>
    </w:p>
    <w:p>
      <w:pPr>
        <w:jc w:val="center"/>
        <w:ind w:right="-119"/>
        <w:spacing w:after="0"/>
        <w:tabs>
          <w:tab w:leader="none" w:pos="980" w:val="left"/>
        </w:tabs>
        <w:rPr>
          <w:sz w:val="20"/>
          <w:szCs w:val="20"/>
          <w:color w:val="auto"/>
        </w:rPr>
      </w:pPr>
      <w:r>
        <w:rPr>
          <w:rFonts w:ascii="Arial" w:cs="Arial" w:eastAsia="Arial" w:hAnsi="Arial"/>
          <w:sz w:val="29"/>
          <w:szCs w:val="29"/>
          <w:b w:val="1"/>
          <w:bCs w:val="1"/>
          <w:color w:val="auto"/>
        </w:rPr>
        <w:t>(Representing</w:t>
      </w:r>
      <w:r>
        <w:rPr>
          <w:sz w:val="20"/>
          <w:szCs w:val="20"/>
          <w:color w:val="auto"/>
        </w:rPr>
        <w:tab/>
      </w: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1065530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191135</wp:posOffset>
            </wp:positionV>
            <wp:extent cx="1894205"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4205" cy="6083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is an initial offering of American depositary shares (“ADSs”) representing ordinary shares of Arm Holdings plc.</w:t>
      </w:r>
    </w:p>
    <w:p>
      <w:pPr>
        <w:spacing w:after="0" w:line="57" w:lineRule="exact"/>
        <w:rPr>
          <w:sz w:val="20"/>
          <w:szCs w:val="20"/>
          <w:color w:val="auto"/>
        </w:rPr>
      </w:pPr>
    </w:p>
    <w:p>
      <w:pPr>
        <w:ind w:left="120" w:right="120" w:firstLine="440"/>
        <w:spacing w:after="0"/>
        <w:rPr>
          <w:sz w:val="20"/>
          <w:szCs w:val="20"/>
          <w:color w:val="auto"/>
        </w:rPr>
      </w:pPr>
      <w:r>
        <w:rPr>
          <w:rFonts w:ascii="Arial" w:cs="Arial" w:eastAsia="Arial" w:hAnsi="Arial"/>
          <w:sz w:val="15"/>
          <w:szCs w:val="15"/>
          <w:color w:val="auto"/>
        </w:rPr>
        <w:t>All of the ADSs to be sold in this offering are currently held by the selling shareholder identified in this prospectus. We are not selling any of the ADSs in this offering and will not receive any proceeds from the sale of the ADSs by the selling shareholder in this offering. Each ADS represents the right to receive one ordinary share, nominal value £0.001 per share, and may be evidenced by American depositary receipts (“ADRs”).</w:t>
      </w:r>
    </w:p>
    <w:p>
      <w:pPr>
        <w:spacing w:after="0" w:line="50" w:lineRule="exact"/>
        <w:rPr>
          <w:sz w:val="20"/>
          <w:szCs w:val="20"/>
          <w:color w:val="auto"/>
        </w:rPr>
      </w:pPr>
    </w:p>
    <w:p>
      <w:pPr>
        <w:ind w:left="560"/>
        <w:spacing w:after="0"/>
        <w:tabs>
          <w:tab w:leader="none" w:pos="10740" w:val="left"/>
        </w:tabs>
        <w:rPr>
          <w:sz w:val="20"/>
          <w:szCs w:val="20"/>
          <w:color w:val="auto"/>
        </w:rPr>
      </w:pPr>
      <w:r>
        <w:rPr>
          <w:rFonts w:ascii="Arial" w:cs="Arial" w:eastAsia="Arial" w:hAnsi="Arial"/>
          <w:sz w:val="14"/>
          <w:szCs w:val="14"/>
          <w:color w:val="auto"/>
        </w:rPr>
        <w:t>Prior to this offering, there has been no public market for the ADSs or our ordinary shares. The initial public offering price per ADS is estimated to be between $</w:t>
      </w:r>
      <w:r>
        <w:rPr>
          <w:sz w:val="20"/>
          <w:szCs w:val="20"/>
          <w:color w:val="auto"/>
        </w:rPr>
        <w:tab/>
      </w:r>
      <w:r>
        <w:rPr>
          <w:rFonts w:ascii="Arial" w:cs="Arial" w:eastAsia="Arial" w:hAnsi="Arial"/>
          <w:sz w:val="13"/>
          <w:szCs w:val="13"/>
          <w:color w:val="auto"/>
        </w:rPr>
        <w:t>and</w:t>
      </w:r>
    </w:p>
    <w:p>
      <w:pPr>
        <w:spacing w:after="0" w:line="13" w:lineRule="exact"/>
        <w:rPr>
          <w:sz w:val="20"/>
          <w:szCs w:val="20"/>
          <w:color w:val="auto"/>
        </w:rPr>
      </w:pPr>
    </w:p>
    <w:p>
      <w:pPr>
        <w:ind w:left="500" w:hanging="384"/>
        <w:spacing w:after="0"/>
        <w:tabs>
          <w:tab w:leader="none" w:pos="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 We have applied to list our ADSs on the Nasdaq Global Select Market (“Nasdaq”) under the symbol “ARM”.</w:t>
      </w:r>
    </w:p>
    <w:p>
      <w:pPr>
        <w:spacing w:after="0" w:line="45"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5"/>
          <w:szCs w:val="15"/>
          <w:color w:val="auto"/>
        </w:rPr>
        <w:t>We are a “foreign private issuer” as defined under the U.S. federal securities laws and, as such, will be subject to reduced public company reporting and stock exchange governance requirements. See “Management and Executive Remuneration—Foreign Private Issuer Exemption” for additional information.</w:t>
      </w:r>
    </w:p>
    <w:p>
      <w:pPr>
        <w:spacing w:after="0" w:line="25" w:lineRule="exact"/>
        <w:rPr>
          <w:sz w:val="20"/>
          <w:szCs w:val="20"/>
          <w:color w:val="auto"/>
        </w:rPr>
      </w:pPr>
    </w:p>
    <w:p>
      <w:pPr>
        <w:ind w:left="120" w:right="140" w:firstLine="440"/>
        <w:spacing w:after="0"/>
        <w:rPr>
          <w:sz w:val="20"/>
          <w:szCs w:val="20"/>
          <w:color w:val="auto"/>
        </w:rPr>
      </w:pPr>
      <w:r>
        <w:rPr>
          <w:rFonts w:ascii="Arial" w:cs="Arial" w:eastAsia="Arial" w:hAnsi="Arial"/>
          <w:sz w:val="15"/>
          <w:szCs w:val="15"/>
          <w:color w:val="auto"/>
        </w:rPr>
        <w:t>SoftBank Group Corp. (“SoftBank”) is expected to beneficially own approximately % of our outstanding ordinary shares following the completion of this offering. As a result of SoftBank’s ownership, after the completion of this offering, we will be a “controlled company” within the meaning of Nasdaq rules. See “Management and Executive Remuneration—Controlled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116840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b w:val="1"/>
          <w:bCs w:val="1"/>
          <w:color w:val="auto"/>
        </w:rPr>
        <w:t>Investing in our ADSs involves a high degree of risk. Before buying any ADSs, you should carefully read the discussion of material risks of investing in our ADSs in “</w:t>
      </w:r>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color w:val="auto"/>
        </w:rPr>
        <w:t>” beginning on page 21 of this prospectus.</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color w:val="auto"/>
                <w:w w:val="91"/>
              </w:rPr>
              <w:t>PER ADS</w:t>
            </w: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color w:val="auto"/>
              </w:rPr>
              <w:t>TOTAL</w:t>
            </w: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Initial public offering price</w:t>
            </w:r>
          </w:p>
        </w:tc>
        <w:tc>
          <w:tcPr>
            <w:tcW w:w="9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20" w:type="dxa"/>
            <w:vAlign w:val="bottom"/>
          </w:tcPr>
          <w:p>
            <w:pPr>
              <w:spacing w:after="0" w:line="162" w:lineRule="exact"/>
              <w:rPr>
                <w:sz w:val="20"/>
                <w:szCs w:val="20"/>
                <w:color w:val="auto"/>
              </w:rPr>
            </w:pPr>
            <w:r>
              <w:rPr>
                <w:rFonts w:ascii="Arial" w:cs="Arial" w:eastAsia="Arial" w:hAnsi="Arial"/>
                <w:sz w:val="15"/>
                <w:szCs w:val="15"/>
                <w:color w:val="auto"/>
              </w:rPr>
              <w:t>Underwriting discounts and commissions</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before expenses, to the selling shareholder</w:t>
            </w: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8"/>
        </w:trPr>
        <w:tc>
          <w:tcPr>
            <w:tcW w:w="1220" w:type="dxa"/>
            <w:vAlign w:val="bottom"/>
            <w:tcBorders>
              <w:bottom w:val="single" w:sz="8" w:color="auto"/>
            </w:tcBorders>
          </w:tcPr>
          <w:p>
            <w:pPr>
              <w:spacing w:after="0"/>
              <w:rPr>
                <w:sz w:val="12"/>
                <w:szCs w:val="12"/>
                <w:color w:val="auto"/>
              </w:rPr>
            </w:pPr>
          </w:p>
        </w:tc>
        <w:tc>
          <w:tcPr>
            <w:tcW w:w="582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42"/>
        </w:trPr>
        <w:tc>
          <w:tcPr>
            <w:tcW w:w="7040" w:type="dxa"/>
            <w:vAlign w:val="bottom"/>
            <w:gridSpan w:val="3"/>
          </w:tcPr>
          <w:p>
            <w:pPr>
              <w:ind w:left="440"/>
              <w:spacing w:after="0"/>
              <w:rPr>
                <w:sz w:val="20"/>
                <w:szCs w:val="20"/>
                <w:color w:val="auto"/>
              </w:rPr>
            </w:pPr>
            <w:r>
              <w:rPr>
                <w:rFonts w:ascii="Arial" w:cs="Arial" w:eastAsia="Arial" w:hAnsi="Arial"/>
                <w:sz w:val="15"/>
                <w:szCs w:val="15"/>
                <w:color w:val="auto"/>
              </w:rPr>
              <w:t>Raine Securities LLC is acting as our financial advisor in connection with this offering.</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7040" w:type="dxa"/>
            <w:vAlign w:val="bottom"/>
            <w:gridSpan w:val="3"/>
          </w:tcPr>
          <w:p>
            <w:pPr>
              <w:ind w:left="440"/>
              <w:spacing w:after="0"/>
              <w:rPr>
                <w:sz w:val="20"/>
                <w:szCs w:val="20"/>
                <w:color w:val="auto"/>
              </w:rPr>
            </w:pPr>
            <w:r>
              <w:rPr>
                <w:rFonts w:ascii="Arial" w:cs="Arial" w:eastAsia="Arial" w:hAnsi="Arial"/>
                <w:sz w:val="15"/>
                <w:szCs w:val="15"/>
                <w:color w:val="auto"/>
                <w:w w:val="96"/>
              </w:rPr>
              <w:t>The underwriters expect to deliver the ADSs against payment in U.S. dollars to purchasers on or about</w:t>
            </w:r>
          </w:p>
        </w:tc>
        <w:tc>
          <w:tcPr>
            <w:tcW w:w="940" w:type="dxa"/>
            <w:vAlign w:val="bottom"/>
          </w:tcPr>
          <w:p>
            <w:pPr>
              <w:jc w:val="right"/>
              <w:ind w:right="124"/>
              <w:spacing w:after="0"/>
              <w:rPr>
                <w:sz w:val="20"/>
                <w:szCs w:val="20"/>
                <w:color w:val="auto"/>
              </w:rPr>
            </w:pPr>
            <w:r>
              <w:rPr>
                <w:rFonts w:ascii="Arial" w:cs="Arial" w:eastAsia="Arial" w:hAnsi="Arial"/>
                <w:sz w:val="15"/>
                <w:szCs w:val="15"/>
                <w:color w:val="auto"/>
              </w:rPr>
              <w:t>, 2023.</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45" w:lineRule="exact"/>
        <w:rPr>
          <w:sz w:val="20"/>
          <w:szCs w:val="20"/>
          <w:color w:val="auto"/>
        </w:rPr>
      </w:pPr>
    </w:p>
    <w:p>
      <w:pPr>
        <w:ind w:left="120" w:right="320" w:firstLine="440"/>
        <w:spacing w:after="0" w:line="261" w:lineRule="auto"/>
        <w:rPr>
          <w:sz w:val="20"/>
          <w:szCs w:val="20"/>
          <w:color w:val="auto"/>
        </w:rPr>
      </w:pPr>
      <w:r>
        <w:rPr>
          <w:rFonts w:ascii="Arial" w:cs="Arial" w:eastAsia="Arial" w:hAnsi="Arial"/>
          <w:sz w:val="15"/>
          <w:szCs w:val="15"/>
          <w:b w:val="1"/>
          <w:bCs w:val="1"/>
          <w:color w:val="auto"/>
        </w:rPr>
        <w:t>Neither the Securities and Exchange Commission nor any U.S.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140"/>
          </w:cols>
          <w:pgMar w:left="320" w:top="459" w:right="439" w:bottom="1440" w:gutter="0" w:footer="0" w:header="0"/>
          <w:type w:val="continuous"/>
        </w:sectPr>
      </w:pPr>
    </w:p>
    <w:p>
      <w:pPr>
        <w:spacing w:after="0" w:line="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Mizuho</w:t>
      </w:r>
    </w:p>
    <w:p>
      <w:pPr>
        <w:spacing w:after="0" w:line="200" w:lineRule="exact"/>
        <w:rPr>
          <w:sz w:val="20"/>
          <w:szCs w:val="20"/>
          <w:color w:val="auto"/>
        </w:rPr>
      </w:pPr>
    </w:p>
    <w:p>
      <w:pPr>
        <w:sectPr>
          <w:pgSz w:w="11900" w:h="16838" w:orient="portrait"/>
          <w:cols w:equalWidth="0" w:num="4">
            <w:col w:w="1960" w:space="720"/>
            <w:col w:w="3740" w:space="720"/>
            <w:col w:w="2440" w:space="720"/>
            <w:col w:w="840"/>
          </w:cols>
          <w:pgMar w:left="320" w:top="459" w:right="439" w:bottom="1440" w:gutter="0" w:footer="0" w:header="0"/>
          <w:type w:val="continuous"/>
        </w:sectPr>
      </w:pPr>
    </w:p>
    <w:p>
      <w:pPr>
        <w:spacing w:after="0" w:line="37" w:lineRule="exact"/>
        <w:rPr>
          <w:sz w:val="20"/>
          <w:szCs w:val="20"/>
          <w:color w:val="auto"/>
        </w:rPr>
      </w:pPr>
    </w:p>
    <w:p>
      <w:pPr>
        <w:ind w:left="340" w:hanging="224"/>
        <w:spacing w:after="0"/>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alphabetical order.</w:t>
      </w:r>
    </w:p>
    <w:p>
      <w:pPr>
        <w:spacing w:after="0" w:line="86" w:lineRule="exact"/>
        <w:rPr>
          <w:sz w:val="20"/>
          <w:szCs w:val="20"/>
          <w:color w:val="auto"/>
        </w:rPr>
      </w:pPr>
    </w:p>
    <w:tbl>
      <w:tblPr>
        <w:tblLayout w:type="fixed"/>
        <w:tblInd w:w="4200" w:type="dxa"/>
        <w:tblCellMar>
          <w:top w:w="0" w:type="dxa"/>
          <w:left w:w="0" w:type="dxa"/>
          <w:bottom w:w="0" w:type="dxa"/>
          <w:right w:w="0" w:type="dxa"/>
        </w:tblCellMar>
      </w:tblP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The date of this prospectus is</w:t>
            </w:r>
          </w:p>
        </w:tc>
        <w:tc>
          <w:tcPr>
            <w:tcW w:w="700" w:type="dxa"/>
            <w:vAlign w:val="bottom"/>
          </w:tcPr>
          <w:p>
            <w:pPr>
              <w:jc w:val="right"/>
              <w:spacing w:after="0"/>
              <w:rPr>
                <w:sz w:val="20"/>
                <w:szCs w:val="20"/>
                <w:color w:val="auto"/>
              </w:rPr>
            </w:pPr>
            <w:r>
              <w:rPr>
                <w:rFonts w:ascii="Arial" w:cs="Arial" w:eastAsia="Arial" w:hAnsi="Arial"/>
                <w:sz w:val="16"/>
                <w:szCs w:val="16"/>
                <w:color w:val="auto"/>
              </w:rPr>
              <w:t>, 2023</w:t>
            </w: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640" w:type="dxa"/>
            <w:vAlign w:val="bottom"/>
            <w:gridSpan w:val="31"/>
            <w:vMerge w:val="restart"/>
          </w:tcPr>
          <w:p>
            <w:pPr>
              <w:spacing w:after="0"/>
              <w:rPr>
                <w:sz w:val="20"/>
                <w:szCs w:val="20"/>
                <w:color w:val="auto"/>
              </w:rPr>
            </w:pPr>
            <w:r>
              <w:rPr>
                <w:rFonts w:ascii="Arial" w:cs="Arial" w:eastAsia="Arial" w:hAnsi="Arial"/>
                <w:sz w:val="18"/>
                <w:szCs w:val="18"/>
                <w:b w:val="1"/>
                <w:bCs w:val="1"/>
                <w:color w:val="0000EE"/>
              </w:rPr>
              <w:t>ABOUT THIS PROSPECTUS</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6"/>
        </w:trPr>
        <w:tc>
          <w:tcPr>
            <w:tcW w:w="10640" w:type="dxa"/>
            <w:vAlign w:val="bottom"/>
            <w:gridSpan w:val="31"/>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8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b w:val="1"/>
                <w:bCs w:val="1"/>
                <w:color w:val="0000EE"/>
              </w:rPr>
              <w:t>NOTE REGARDING TRADEMARKS, TRADENAMES AND SERVICE MARKS</w:t>
            </w:r>
          </w:p>
        </w:tc>
        <w:tc>
          <w:tcPr>
            <w:tcW w:w="4260" w:type="dxa"/>
            <w:vAlign w:val="bottom"/>
            <w:gridSpan w:val="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PRESENTATION OF FINANCIAL AND OTHER INFORMATION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30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b w:val="1"/>
                <w:bCs w:val="1"/>
                <w:color w:val="0000EE"/>
                <w:w w:val="99"/>
              </w:rPr>
              <w:t>NON-GAAP FINANCIAL MEASURES</w:t>
            </w:r>
          </w:p>
        </w:tc>
        <w:tc>
          <w:tcPr>
            <w:tcW w:w="2160" w:type="dxa"/>
            <w:vAlign w:val="bottom"/>
            <w:tcBorders>
              <w:top w:val="single" w:sz="8" w:color="0000EE"/>
            </w:tcBorders>
            <w:gridSpan w:val="8"/>
          </w:tcPr>
          <w:p>
            <w:pPr>
              <w:spacing w:after="0"/>
              <w:rPr>
                <w:sz w:val="24"/>
                <w:szCs w:val="24"/>
                <w:color w:val="auto"/>
              </w:rPr>
            </w:pPr>
          </w:p>
        </w:tc>
        <w:tc>
          <w:tcPr>
            <w:tcW w:w="5400" w:type="dxa"/>
            <w:vAlign w:val="bottom"/>
            <w:gridSpan w:val="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INDUSTRY AND MARKET DATA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8"/>
              </w:rPr>
              <w:t>GLOSSARY OF CERTAIN TERMS</w:t>
            </w:r>
          </w:p>
        </w:tc>
        <w:tc>
          <w:tcPr>
            <w:tcW w:w="7820" w:type="dxa"/>
            <w:vAlign w:val="bottom"/>
            <w:gridSpan w:val="1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PROSPECTUS SUMMARY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04"/>
        </w:trPr>
        <w:tc>
          <w:tcPr>
            <w:tcW w:w="13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rPr>
              <w:t>THE OFFERING</w:t>
            </w:r>
          </w:p>
        </w:tc>
        <w:tc>
          <w:tcPr>
            <w:tcW w:w="800" w:type="dxa"/>
            <w:vAlign w:val="bottom"/>
            <w:tcBorders>
              <w:top w:val="single" w:sz="8" w:color="0000EE"/>
            </w:tcBorders>
            <w:gridSpan w:val="6"/>
          </w:tcPr>
          <w:p>
            <w:pPr>
              <w:spacing w:after="0"/>
              <w:rPr>
                <w:sz w:val="24"/>
                <w:szCs w:val="24"/>
                <w:color w:val="auto"/>
              </w:rPr>
            </w:pPr>
          </w:p>
        </w:tc>
        <w:tc>
          <w:tcPr>
            <w:tcW w:w="8460" w:type="dxa"/>
            <w:vAlign w:val="bottom"/>
            <w:gridSpan w:val="2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SUMMARY FINANCIAL DATA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304"/>
        </w:trPr>
        <w:tc>
          <w:tcPr>
            <w:tcW w:w="254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0000EE"/>
              </w:rPr>
              <w:t>RISK FACTORS</w:t>
            </w:r>
          </w:p>
        </w:tc>
        <w:tc>
          <w:tcPr>
            <w:tcW w:w="8100" w:type="dxa"/>
            <w:vAlign w:val="bottom"/>
            <w:gridSpan w:val="2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SPECIAL NOTE REGARDING FORWARD-LOOKING STATEMENTS</w:t>
            </w:r>
          </w:p>
        </w:tc>
        <w:tc>
          <w:tcPr>
            <w:tcW w:w="4980" w:type="dxa"/>
            <w:vAlign w:val="bottom"/>
            <w:gridSpan w:val="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304"/>
        </w:trPr>
        <w:tc>
          <w:tcPr>
            <w:tcW w:w="16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5"/>
              </w:rPr>
              <w:t>USE OF PROCEEDS</w:t>
            </w:r>
          </w:p>
        </w:tc>
        <w:tc>
          <w:tcPr>
            <w:tcW w:w="8960" w:type="dxa"/>
            <w:vAlign w:val="bottom"/>
            <w:gridSpan w:val="2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304"/>
        </w:trPr>
        <w:tc>
          <w:tcPr>
            <w:tcW w:w="16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rPr>
              <w:t>DIVIDEND POLICY</w:t>
            </w:r>
          </w:p>
        </w:tc>
        <w:tc>
          <w:tcPr>
            <w:tcW w:w="8980" w:type="dxa"/>
            <w:vAlign w:val="bottom"/>
            <w:gridSpan w:val="2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CORPORATE REORGANIZATION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304"/>
        </w:trPr>
        <w:tc>
          <w:tcPr>
            <w:tcW w:w="15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rPr>
              <w:t>CAPITALIZATION</w:t>
            </w:r>
          </w:p>
        </w:tc>
        <w:tc>
          <w:tcPr>
            <w:tcW w:w="1300" w:type="dxa"/>
            <w:vAlign w:val="bottom"/>
            <w:tcBorders>
              <w:top w:val="single" w:sz="8" w:color="0000EE"/>
            </w:tcBorders>
            <w:gridSpan w:val="8"/>
          </w:tcPr>
          <w:p>
            <w:pPr>
              <w:spacing w:after="0"/>
              <w:rPr>
                <w:sz w:val="24"/>
                <w:szCs w:val="24"/>
                <w:color w:val="auto"/>
              </w:rPr>
            </w:pPr>
          </w:p>
        </w:tc>
        <w:tc>
          <w:tcPr>
            <w:tcW w:w="7780" w:type="dxa"/>
            <w:vAlign w:val="bottom"/>
            <w:gridSpan w:val="1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304"/>
        </w:trPr>
        <w:tc>
          <w:tcPr>
            <w:tcW w:w="930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b w:val="1"/>
                <w:bCs w:val="1"/>
                <w:color w:val="0000EE"/>
                <w:w w:val="99"/>
              </w:rPr>
              <w:t>MANAGEMENT’S DISCUSSION AND ANALYSIS OF FINANCIAL CONDITION AND RESULTS OF OPERATIONS</w:t>
            </w:r>
          </w:p>
        </w:tc>
        <w:tc>
          <w:tcPr>
            <w:tcW w:w="13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BUSINESS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113</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b w:val="1"/>
                <w:bCs w:val="1"/>
                <w:color w:val="0000EE"/>
              </w:rPr>
              <w:t>MANAGEMENT AND EXECUTIVE REMUNERATION</w:t>
            </w:r>
          </w:p>
        </w:tc>
        <w:tc>
          <w:tcPr>
            <w:tcW w:w="6180" w:type="dxa"/>
            <w:vAlign w:val="bottom"/>
            <w:gridSpan w:val="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135</w:t>
            </w:r>
          </w:p>
        </w:tc>
        <w:tc>
          <w:tcPr>
            <w:tcW w:w="0" w:type="dxa"/>
            <w:vAlign w:val="bottom"/>
          </w:tcPr>
          <w:p>
            <w:pPr>
              <w:spacing w:after="0"/>
              <w:rPr>
                <w:sz w:val="1"/>
                <w:szCs w:val="1"/>
                <w:color w:val="auto"/>
              </w:rPr>
            </w:pPr>
          </w:p>
        </w:tc>
      </w:tr>
      <w:tr>
        <w:trPr>
          <w:trHeight w:val="304"/>
        </w:trPr>
        <w:tc>
          <w:tcPr>
            <w:tcW w:w="29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b w:val="1"/>
                <w:bCs w:val="1"/>
                <w:color w:val="0000EE"/>
                <w:w w:val="98"/>
              </w:rPr>
              <w:t>RELATED PARTY TRANSACTIONS</w:t>
            </w:r>
          </w:p>
        </w:tc>
        <w:tc>
          <w:tcPr>
            <w:tcW w:w="7660" w:type="dxa"/>
            <w:vAlign w:val="bottom"/>
            <w:gridSpan w:val="1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154</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PRINCIPAL AND SELLING SHAREHOLDER</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157</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2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b w:val="1"/>
                <w:bCs w:val="1"/>
                <w:color w:val="0000EE"/>
                <w:w w:val="99"/>
              </w:rPr>
              <w:t>DESCRIPTION OF SHARE CAPITAL AND ARTICLES OF ASSOCIATION</w:t>
            </w:r>
          </w:p>
        </w:tc>
        <w:tc>
          <w:tcPr>
            <w:tcW w:w="4620" w:type="dxa"/>
            <w:vAlign w:val="bottom"/>
            <w:gridSpan w:val="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159</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DESCRIPTION OF AMERICAN DEPOSITARY SHARES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179</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ORDINARY SHARES AND ADSs ELIGIBLE FOR FUTURE SALE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191</w:t>
            </w:r>
          </w:p>
        </w:tc>
        <w:tc>
          <w:tcPr>
            <w:tcW w:w="0" w:type="dxa"/>
            <w:vAlign w:val="bottom"/>
          </w:tcPr>
          <w:p>
            <w:pPr>
              <w:spacing w:after="0"/>
              <w:rPr>
                <w:sz w:val="1"/>
                <w:szCs w:val="1"/>
                <w:color w:val="auto"/>
              </w:rPr>
            </w:pPr>
          </w:p>
        </w:tc>
      </w:tr>
      <w:tr>
        <w:trPr>
          <w:trHeight w:val="304"/>
        </w:trPr>
        <w:tc>
          <w:tcPr>
            <w:tcW w:w="30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b w:val="1"/>
                <w:bCs w:val="1"/>
                <w:color w:val="0000EE"/>
              </w:rPr>
              <w:t>MATERIAL TAX CONSIDERATIONS</w:t>
            </w:r>
          </w:p>
        </w:tc>
        <w:tc>
          <w:tcPr>
            <w:tcW w:w="2240" w:type="dxa"/>
            <w:vAlign w:val="bottom"/>
            <w:tcBorders>
              <w:top w:val="single" w:sz="8" w:color="0000EE"/>
            </w:tcBorders>
            <w:gridSpan w:val="10"/>
          </w:tcPr>
          <w:p>
            <w:pPr>
              <w:spacing w:after="0"/>
              <w:rPr>
                <w:sz w:val="24"/>
                <w:szCs w:val="24"/>
                <w:color w:val="auto"/>
              </w:rPr>
            </w:pPr>
          </w:p>
        </w:tc>
        <w:tc>
          <w:tcPr>
            <w:tcW w:w="5340" w:type="dxa"/>
            <w:vAlign w:val="bottom"/>
            <w:gridSpan w:val="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193</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UNDERWRITING</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EXPENSES RELATED TO THE OFFERING</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208</w:t>
            </w:r>
          </w:p>
        </w:tc>
        <w:tc>
          <w:tcPr>
            <w:tcW w:w="0" w:type="dxa"/>
            <w:vAlign w:val="bottom"/>
          </w:tcPr>
          <w:p>
            <w:pPr>
              <w:spacing w:after="0"/>
              <w:rPr>
                <w:sz w:val="1"/>
                <w:szCs w:val="1"/>
                <w:color w:val="auto"/>
              </w:rPr>
            </w:pPr>
          </w:p>
        </w:tc>
      </w:tr>
      <w:tr>
        <w:trPr>
          <w:trHeight w:val="304"/>
        </w:trPr>
        <w:tc>
          <w:tcPr>
            <w:tcW w:w="354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0000EE"/>
              </w:rPr>
              <w:t>LEGAL MATTERS</w:t>
            </w:r>
          </w:p>
        </w:tc>
        <w:tc>
          <w:tcPr>
            <w:tcW w:w="7100" w:type="dxa"/>
            <w:vAlign w:val="bottom"/>
            <w:gridSpan w:val="11"/>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209</w:t>
            </w:r>
          </w:p>
        </w:tc>
        <w:tc>
          <w:tcPr>
            <w:tcW w:w="0" w:type="dxa"/>
            <w:vAlign w:val="bottom"/>
          </w:tcPr>
          <w:p>
            <w:pPr>
              <w:spacing w:after="0"/>
              <w:rPr>
                <w:sz w:val="1"/>
                <w:szCs w:val="1"/>
                <w:color w:val="auto"/>
              </w:rPr>
            </w:pPr>
          </w:p>
        </w:tc>
      </w:tr>
      <w:tr>
        <w:trPr>
          <w:trHeight w:val="304"/>
        </w:trPr>
        <w:tc>
          <w:tcPr>
            <w:tcW w:w="8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b w:val="1"/>
                <w:bCs w:val="1"/>
                <w:color w:val="0000EE"/>
                <w:w w:val="97"/>
              </w:rPr>
              <w:t>EXPERTS</w:t>
            </w:r>
          </w:p>
        </w:tc>
        <w:tc>
          <w:tcPr>
            <w:tcW w:w="680" w:type="dxa"/>
            <w:vAlign w:val="bottom"/>
            <w:tcBorders>
              <w:top w:val="single" w:sz="8" w:color="0000EE"/>
            </w:tcBorders>
            <w:gridSpan w:val="4"/>
          </w:tcPr>
          <w:p>
            <w:pPr>
              <w:spacing w:after="0"/>
              <w:rPr>
                <w:sz w:val="24"/>
                <w:szCs w:val="24"/>
                <w:color w:val="auto"/>
              </w:rPr>
            </w:pPr>
          </w:p>
        </w:tc>
        <w:tc>
          <w:tcPr>
            <w:tcW w:w="9100" w:type="dxa"/>
            <w:vAlign w:val="bottom"/>
            <w:gridSpan w:val="2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209</w:t>
            </w:r>
          </w:p>
        </w:tc>
        <w:tc>
          <w:tcPr>
            <w:tcW w:w="0" w:type="dxa"/>
            <w:vAlign w:val="bottom"/>
          </w:tcPr>
          <w:p>
            <w:pPr>
              <w:spacing w:after="0"/>
              <w:rPr>
                <w:sz w:val="1"/>
                <w:szCs w:val="1"/>
                <w:color w:val="auto"/>
              </w:rPr>
            </w:pPr>
          </w:p>
        </w:tc>
      </w:tr>
      <w:tr>
        <w:trPr>
          <w:trHeight w:val="304"/>
        </w:trPr>
        <w:tc>
          <w:tcPr>
            <w:tcW w:w="34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b w:val="1"/>
                <w:bCs w:val="1"/>
                <w:color w:val="0000EE"/>
              </w:rPr>
              <w:t>ENFORCEMENT OF CIVIL LIABILITIES</w:t>
            </w:r>
          </w:p>
        </w:tc>
        <w:tc>
          <w:tcPr>
            <w:tcW w:w="7200" w:type="dxa"/>
            <w:vAlign w:val="bottom"/>
            <w:gridSpan w:val="1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210</w:t>
            </w:r>
          </w:p>
        </w:tc>
        <w:tc>
          <w:tcPr>
            <w:tcW w:w="0" w:type="dxa"/>
            <w:vAlign w:val="bottom"/>
          </w:tcPr>
          <w:p>
            <w:pPr>
              <w:spacing w:after="0"/>
              <w:rPr>
                <w:sz w:val="1"/>
                <w:szCs w:val="1"/>
                <w:color w:val="auto"/>
              </w:rPr>
            </w:pPr>
          </w:p>
        </w:tc>
      </w:tr>
      <w:tr>
        <w:trPr>
          <w:trHeight w:val="304"/>
        </w:trPr>
        <w:tc>
          <w:tcPr>
            <w:tcW w:w="46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b w:val="1"/>
                <w:bCs w:val="1"/>
                <w:color w:val="0000EE"/>
              </w:rPr>
              <w:t>WHERE YOU CAN FIND ADDITIONAL INFORMATION</w:t>
            </w:r>
          </w:p>
        </w:tc>
        <w:tc>
          <w:tcPr>
            <w:tcW w:w="6000" w:type="dxa"/>
            <w:vAlign w:val="bottom"/>
            <w:gridSpan w:val="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211</w:t>
            </w:r>
          </w:p>
        </w:tc>
        <w:tc>
          <w:tcPr>
            <w:tcW w:w="0" w:type="dxa"/>
            <w:vAlign w:val="bottom"/>
          </w:tcPr>
          <w:p>
            <w:pPr>
              <w:spacing w:after="0"/>
              <w:rPr>
                <w:sz w:val="1"/>
                <w:szCs w:val="1"/>
                <w:color w:val="auto"/>
              </w:rPr>
            </w:pPr>
          </w:p>
        </w:tc>
      </w:tr>
      <w:tr>
        <w:trPr>
          <w:trHeight w:val="304"/>
        </w:trPr>
        <w:tc>
          <w:tcPr>
            <w:tcW w:w="32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b w:val="1"/>
                <w:bCs w:val="1"/>
                <w:color w:val="0000EE"/>
              </w:rPr>
              <w:t>INDEX TO FINANCIAL STATEMENTS</w:t>
            </w:r>
          </w:p>
        </w:tc>
        <w:tc>
          <w:tcPr>
            <w:tcW w:w="7440" w:type="dxa"/>
            <w:vAlign w:val="bottom"/>
            <w:gridSpan w:val="1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Neither we, the selling shareholder nor the underwriters have authorized anyone to provide you with information that is different from that contained in this prospectus or in any free writing prospectus we may authorize to be delivered or made available to you. Neither we, the selling shareholder nor the underwriters take any responsibility for, or provide any assurance as to the reliability of, any other information that others may give you. We, the selling shareholder and the underwriters are offering to sell ADSs and seeking offers to purchase ADSs only in the U.S. and certain other jurisdictions where offers and sales are permitted. The information contained in this prospectus is accurate only as of the date on the cover page of this prospectus, regardless of the time of delivery of this prospectus or any sale of ADSs.</w:t>
      </w:r>
    </w:p>
    <w:p>
      <w:pPr>
        <w:spacing w:after="0" w:line="164"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For investors outside the U.S.: Neither we, the selling shareholder nor any of the underwriters have taken any action to permit this offering or possession or distribution of this prospectus in any jurisdiction where action for that purpose is required, other than in the U.S.. You are required to inform yourselves about and to observe any restrictions relating to this offering and the distribution of this prospectus.</w:t>
      </w:r>
    </w:p>
    <w:p>
      <w:pPr>
        <w:spacing w:after="0" w:line="16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incorporated under the laws of England and Wales and a majority of our outstanding securities is owned by non-U.S. residents. Under the rules of the U.S. Securities and Exchange Commission (the “SEC”), we are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the completion of this offering, we underwent a corporate reorganization described under the section titled “Corporate Reorganization,” pursuant to which Arm Limited became a wholly owned subsidiary of Arm Holdings Limited, a holding company with nominal assets and no liabilities, contingencies, or commitments, which has not conducted any operations prior to this offering other than acquiring the entire issued share capital of Arm Limited. Prior to the completion of this offering, we intend to re-register Arm Holdings Limited as a public limited company and to change its name from Arm Holdings Limited to Arm Holdings plc.</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Unless otherwise indicated or the context otherwise requires, in this prospectus, “Arm,” the “Company,” “we,” “us” and “our” refer to (i) Arm Limited and its consolidated subsidiaries prior to the completion of our corporate reorganization, (ii) Arm Holdings Limited and its consolidated subsidiaries after the completion of our corporate reorganization and prior to the re-registration of Arm Holdings Limited as a public limited company and (iii) Arm Holdings plc and its consolidated subsidiaries after the re-registration of Arm Holdings Limited as a public limited company. See “Corporate Reorganization” and “Description of Share Capital and Articles of Association.”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REGARDING TRADEMARKS, TRADENAMES AND SERVICE MARKS</w:t>
      </w:r>
    </w:p>
    <w:p>
      <w:pPr>
        <w:spacing w:after="0" w:line="22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tradenames or service marks to imply, and such use or display should not be construed to imply, a relationship with, or endorsement or sponsorship of us by, these other parties.</w:t>
      </w:r>
    </w:p>
    <w:p>
      <w:pPr>
        <w:spacing w:after="0" w:line="1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Our fiscal year ends on March 31 of each year. We prepare our consolidated financial statements in accordance with generally accepted accounting principles in the U.S. (“GAAP”). We present our consolidated financial statements in U.S. dollars (“USD”).</w:t>
      </w:r>
    </w:p>
    <w:p>
      <w:pPr>
        <w:spacing w:after="0" w:line="146"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have historically conducted our business through Arm Limited, and therefore, our historical consolidated financial statements included in this prospectus present the consolidated results of operations of Arm Limited and its subsidiaries. The consolidated financial statements included in this prospectus do not give effect to our corporate reorganization described in the section titled “Corporate Reorganization.”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financial information contained in this prospectus does not amount to statutory accounts within the meaning of section 434(3) of the U.K.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Companies Act 2006 (the “Companies Act”).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prospectus contains certain financial measures that are not presented in accordance with GAAP, including Non-GAAP operating income, Non-GAAP net income from continuing operations and Non-GAAP free cash flow, that are not required by, or prepared in accordance with, GAAP. We refer to these measures as “non-GAAP financial measures.” See “Management’s Discussion and Analysis of Financial Condition and Results of Operations—Key Financial and Operating Metrics—Non-GAAP Financial Measures” for our definitions of these non-GAAP financial measures, information about how and why we use these non-GAAP financial measures and a reconciliation of each of these non-GAAP financial measures to its most directly comparable financial measure calculated in accordance with GAAP.</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GLOSSARY OF CERTAIN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abbreviations, acronyms and definitions of certain terms used in this document:</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“ADAS” means advanced driver assistance systems.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“AI” means artificial intelligence.</w:t>
      </w:r>
    </w:p>
    <w:p>
      <w:pPr>
        <w:spacing w:after="0" w:line="130" w:lineRule="exact"/>
        <w:rPr>
          <w:rFonts w:ascii="Arial" w:cs="Arial" w:eastAsia="Arial" w:hAnsi="Arial"/>
          <w:sz w:val="18"/>
          <w:szCs w:val="18"/>
          <w:color w:val="auto"/>
        </w:rPr>
      </w:pPr>
    </w:p>
    <w:p>
      <w:pPr>
        <w:ind w:left="1080" w:right="340" w:hanging="424"/>
        <w:spacing w:after="0" w:line="31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“Arm China” means Arm Technology (China) Co. Ltd, an entity that operates independently of us and is our single largest customer. Acetone Limited, an entity controlled by SoftBank and in which we own a 10% non-voting interest, owns approximately 48% of Arm China. Our 10% non-voting interest in Acetone Limited represents an approximate 4.8% indirect ownership interest in Arm China.</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“Armv9” means the ninth version of the Arm instruction set architecture.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“Articles” means our articles of association to be in place upon completion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“ASP” means average selling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 means consumer electronics.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“Citibank” means Citibank, N.A., which will serve as the depositary for the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“CPU” means a central processing unit, which executes the instructions of a computer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“CSP” means cloud service provider.</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win” means a customer has chosen to use Arm products in a certain future chip design, including future chip designs under existing license agreements.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“EDA” means electronic design automation, a category of software tools for designing electronic systems such as integrated circuits and printed circuit boards.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“embedded” means embedded processors, which are processors used in embedded systems such as industrial automation, sensors, signage and transportation, and home appliances, among other things.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“GPU” means a graphics processing unit, which is used to accelerate the display of complex graphics onto a screen and can also be used for other mathematical applications.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“IC” means integrated circuit.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means Internet of Things.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“IP” means intellectual property.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“IPLA” means our intellectual property license agreement with Arm China, pursuant to which, among other things, we granted Arm China certain exclusive rights to sublicense our IP to PRC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“ISA” means instruction set architecture, which specifies how software running on a CPU will behave.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“IVI” means in-vehicle-infotainment.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“ML” means machine learning.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“NFC” means near field communication.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“NPU” means a neural processing unit, which specializes in the acceleration of ML algorithms.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“OEM” means an original equipment manufacturer.</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“open-source” means software or hardware design that is released under a license in which the copyright holder grants users the rights to use, study, modify or distribute the computer software or hardware design and its source code on the condition that other software using, incorporating, linking, integrating or bundling with such software be disclosed or distributed in source code form, licensed for the purpose of making derivative works or redistributable at no charge.</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“Physical IP” means the physical IP components used in the process of translating a design of complex SoC integrated circuits into a manufactured chip.</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“PRC” means, for the purpose of this prospectus, the People’s Republic of China, including the Hong Kong Special Administrative Region and the Macau Special Administrative Region, but excluding Taiwan.</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“RAND” means reasonable and non-discriminatory, which typically is used to describe a voluntary licensing commitment that standards-setting organizations often request from the owner of an IP right that is, or may become, essential to practice a technical standard.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“RISC” means reduced instruction set computer.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“SmartNICs” means smart network interface cards.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“System IP” means components used in an SoC design, other than the CPU, GPU, </w:t>
      </w:r>
      <w:r>
        <w:rPr>
          <w:rFonts w:ascii="Arial" w:cs="Arial" w:eastAsia="Arial" w:hAnsi="Arial"/>
          <w:sz w:val="18"/>
          <w:szCs w:val="18"/>
          <w:i w:val="1"/>
          <w:iCs w:val="1"/>
          <w:color w:val="auto"/>
        </w:rPr>
        <w:t>etc.</w:t>
      </w:r>
      <w:r>
        <w:rPr>
          <w:rFonts w:ascii="Arial" w:cs="Arial" w:eastAsia="Arial" w:hAnsi="Arial"/>
          <w:sz w:val="18"/>
          <w:szCs w:val="18"/>
          <w:color w:val="auto"/>
        </w:rPr>
        <w:t>, such as interfaces to external components and on-chip interconnects that bridge functional components within the SoC.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on Chip” or “SoC” means an integrated circuit that combines multiple functional blocks together in a single chip.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“TLA” means Technology License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“x86” means the x86 family of complex ISAs.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00"/>
          </w:cols>
          <w:pgMar w:left="320" w:top="459"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33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This summary highlights certain information contained elsewhere in this prospectus. This summary may not, and does not purport to, contain all the information that may be important to you, and we urge you to read this entire prospectus carefully, including the “Risk Factors,” “Special Note Regarding Forward-Looking Statements,” “Business” and “Management’s Discussion and Analysis of Financial Condition and Results of Operations” sections and the consolidated financial statements of Arm Limited and the notes to those statements, included elsewhere in this prospectus, before deciding to invest in the ADSs.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North Star</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Building the future of computing, on Arm. Together. For everyone.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 representing an approximately 70% increase since the fiscal year ended March 31, 2016.</w:t>
      </w:r>
    </w:p>
    <w:p>
      <w:pPr>
        <w:spacing w:after="0" w:line="168"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Today, any company can make a modern computer chip through the unique combination of our energy-efficient CPU IP and related technologies and our unmatched ecosystem of technology partners, and do it cost effectively due to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including the largest technology companies globally (such as Amazon.com, Inc., Alphabet Inc., Meta Platforms, Inc. and Microsoft Corporation), major semiconductor chip vendors (such as Advanced Micro Devices, Inc., Intel Corporation, NVIDIA Corporation, Qualcomm Inc. and Samsung Electronics Co., Ltd.), automotive industry incumbents, leading auto suppliers, IoT innovators, and more.</w:t>
      </w:r>
    </w:p>
    <w:p>
      <w:pPr>
        <w:spacing w:after="0" w:line="185" w:lineRule="exact"/>
        <w:rPr>
          <w:sz w:val="20"/>
          <w:szCs w:val="20"/>
          <w:color w:val="auto"/>
        </w:rPr>
      </w:pPr>
    </w:p>
    <w:p>
      <w:pPr>
        <w:ind w:left="300" w:right="140" w:firstLine="426"/>
        <w:spacing w:after="0" w:line="272" w:lineRule="auto"/>
        <w:rPr>
          <w:sz w:val="20"/>
          <w:szCs w:val="20"/>
          <w:color w:val="auto"/>
        </w:rPr>
      </w:pPr>
      <w:r>
        <w:rPr>
          <w:rFonts w:ascii="Arial" w:cs="Arial" w:eastAsia="Arial" w:hAnsi="Arial"/>
          <w:sz w:val="17"/>
          <w:szCs w:val="17"/>
          <w:color w:val="auto"/>
        </w:rPr>
        <w:t>The exponential rise in smart devices in both consumer and enterprise markets has increased the demand for chips that provide more computational capability while optimizing energy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all these devices and services together. Additionally, there are billions of tiny low-cost devices—from sensors to electric motor controllers—that are now functionally computers, as well. Each of these computers needs at least one CPU, and in many cases more than one. This trend has driven the dramatic growth of Arm-based chips over the past several years.</w:t>
      </w:r>
    </w:p>
    <w:p>
      <w:pPr>
        <w:spacing w:after="0" w:line="2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33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312" w:lineRule="exact"/>
        <w:rPr>
          <w:sz w:val="20"/>
          <w:szCs w:val="20"/>
          <w:color w:val="auto"/>
        </w:rPr>
      </w:pPr>
    </w:p>
    <w:p>
      <w:pPr>
        <w:ind w:left="300" w:right="40" w:firstLine="426"/>
        <w:spacing w:after="0" w:line="272" w:lineRule="auto"/>
        <w:rPr>
          <w:sz w:val="20"/>
          <w:szCs w:val="20"/>
          <w:color w:val="auto"/>
        </w:rPr>
      </w:pPr>
      <w:r>
        <w:rPr>
          <w:rFonts w:ascii="Arial" w:cs="Arial" w:eastAsia="Arial" w:hAnsi="Arial"/>
          <w:sz w:val="17"/>
          <w:szCs w:val="17"/>
          <w:color w:val="auto"/>
        </w:rPr>
        <w:t>Our creation of the Arm CPU architecture, the world’s most widely used CPU architecture, has resulted in the proliferation and evolution of computers as people know them today, advancing a paradigm of increasing compute performance coupled with industry-leading power efficiency.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Energy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remains critical.</w:t>
      </w:r>
    </w:p>
    <w:p>
      <w:pPr>
        <w:spacing w:after="0" w:line="177"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 xml:space="preserve">Every CPU has an ISA, which defines the software instructions that can be executed by the CPU, essentially a common language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Arial" w:cs="Arial" w:eastAsia="Arial" w:hAnsi="Arial"/>
          <w:sz w:val="16"/>
          <w:szCs w:val="16"/>
          <w:i w:val="1"/>
          <w:iCs w:val="1"/>
          <w:color w:val="auto"/>
        </w:rPr>
        <w:t>etc.</w:t>
      </w:r>
      <w:r>
        <w:rPr>
          <w:rFonts w:ascii="Arial" w:cs="Arial" w:eastAsia="Arial" w:hAnsi="Arial"/>
          <w:sz w:val="16"/>
          <w:szCs w:val="16"/>
          <w:color w:val="auto"/>
        </w:rPr>
        <w:t>) to create an SoC to meet the needs of any end market.</w:t>
      </w:r>
    </w:p>
    <w:p>
      <w:pPr>
        <w:spacing w:after="0" w:line="161"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and have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78"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This combination of pervasiveness and ease of portability has resulted in our CPU designs having the world’s richest software ecosystem, built in partnership with the leading operating systems providers (including Google Android, Microsoft Windows and all major Linux distributions), software tools and game engine vendors (such as Electronic Arts Inc., Unity Software Inc. and Epic Games, Inc.),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w:t>
      </w:r>
    </w:p>
    <w:p>
      <w:pPr>
        <w:spacing w:after="0" w:line="192" w:lineRule="exact"/>
        <w:rPr>
          <w:sz w:val="20"/>
          <w:szCs w:val="20"/>
          <w:color w:val="auto"/>
        </w:rPr>
      </w:pPr>
    </w:p>
    <w:p>
      <w:pPr>
        <w:ind w:left="300" w:right="100" w:firstLine="426"/>
        <w:spacing w:after="0" w:line="254" w:lineRule="auto"/>
        <w:rPr>
          <w:sz w:val="20"/>
          <w:szCs w:val="20"/>
          <w:color w:val="auto"/>
        </w:rPr>
      </w:pPr>
      <w:r>
        <w:rPr>
          <w:rFonts w:ascii="Arial" w:cs="Arial" w:eastAsia="Arial" w:hAnsi="Arial"/>
          <w:sz w:val="18"/>
          <w:szCs w:val="18"/>
          <w:color w:val="auto"/>
        </w:rPr>
        <w:t>As the world moves increasingly towards AI- and ML-enabled computing, Arm will be central to this transition. Arm CPUs already run AI and ML workloads in billions of devices, including smartphones, cameras, digital TVs, cars and cloud data centers. The CPU is vital in all AI systems, whether it is handling the AI workload entirely or in combination with a co-processor, such as a GPU or an NPU. In the emerging area of large language models, generative AI and autonomous driving, there will be a heightened emphasis on the low power acceleration of these algorithms. In our latest ISA, CPUs, and GPUs, we have added new functionality and instructions to accelerate future AI and ML algorithms. We are working with leading companies such as Alphabet, Cruise LLC, Mercedes-Benz, Meta and NVIDIA to deploy Arm technology to run AI workloads.</w:t>
      </w:r>
    </w:p>
    <w:p>
      <w:pPr>
        <w:spacing w:after="0" w:line="19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(“R&amp;D”) centers in the U.K., Europe, North America, India, and Asia-Pacific. Our headquarters are located in Cambridge, U.K.</w:t>
      </w:r>
    </w:p>
    <w:p>
      <w:pPr>
        <w:spacing w:after="0" w:line="18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For the fiscal year ended March 31, 2023, our total revenue growth was flat to $2,679 million, from March 31, 2022. In the fiscal year ended March 31, 2023, as a percentage of total revenue our gross profit</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82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312" w:lineRule="exact"/>
        <w:rPr>
          <w:sz w:val="20"/>
          <w:szCs w:val="20"/>
          <w:color w:val="auto"/>
        </w:rPr>
      </w:pPr>
    </w:p>
    <w:p>
      <w:pPr>
        <w:ind w:left="300" w:right="60"/>
        <w:spacing w:after="0" w:line="284" w:lineRule="auto"/>
        <w:rPr>
          <w:sz w:val="20"/>
          <w:szCs w:val="20"/>
          <w:color w:val="auto"/>
        </w:rPr>
      </w:pPr>
      <w:r>
        <w:rPr>
          <w:rFonts w:ascii="Arial" w:cs="Arial" w:eastAsia="Arial" w:hAnsi="Arial"/>
          <w:sz w:val="16"/>
          <w:szCs w:val="16"/>
          <w:color w:val="auto"/>
        </w:rPr>
        <w:t>margin was 96% and operating income margin was 25%. In the fiscal year ended March 31, 2023, we generated net income from continuing operations of $524 million (Non-GAAP net income from continuing operations of $657 million), compared to $676 million (Non-GAAP net income from continuing operations of $663 million) in the fiscal year ended March 31, 2022. For the fiscal year ended March 31, 2022, our total revenue grew by 33%, to $2,703 million, from $2,027 million in the fiscal year ended March 31, 2021. In the fiscal year ended March 31, 2022, as a percentage of total revenue our gross profit margin was 95% and operating income margin was 23% compared to 93% and 12%, respectively, in the fiscal year ended March 31, 2021. In the fiscal year ended March 31, 2022, we generated net income from continuing operations of</w:t>
      </w:r>
    </w:p>
    <w:p>
      <w:pPr>
        <w:spacing w:after="0" w:line="4" w:lineRule="exact"/>
        <w:rPr>
          <w:sz w:val="20"/>
          <w:szCs w:val="20"/>
          <w:color w:val="auto"/>
        </w:rPr>
      </w:pPr>
    </w:p>
    <w:p>
      <w:pPr>
        <w:ind w:left="300" w:right="520"/>
        <w:spacing w:after="0" w:line="260" w:lineRule="auto"/>
        <w:rPr>
          <w:sz w:val="20"/>
          <w:szCs w:val="20"/>
          <w:color w:val="auto"/>
        </w:rPr>
      </w:pPr>
      <w:r>
        <w:rPr>
          <w:rFonts w:ascii="Arial" w:cs="Arial" w:eastAsia="Arial" w:hAnsi="Arial"/>
          <w:sz w:val="18"/>
          <w:szCs w:val="18"/>
          <w:color w:val="auto"/>
        </w:rPr>
        <w:t>$676 million (Non-GAAP net income from continuing operations of $663 million), compared to $544 million (Non-GAAP net income from continuing operations of $207 million) in the fiscal year ended March 31, 2021.</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Journey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left="300" w:right="320" w:firstLine="426"/>
        <w:spacing w:after="0" w:line="263" w:lineRule="auto"/>
        <w:rPr>
          <w:sz w:val="20"/>
          <w:szCs w:val="20"/>
          <w:color w:val="auto"/>
        </w:rPr>
      </w:pPr>
      <w:r>
        <w:rPr>
          <w:rFonts w:ascii="Arial" w:cs="Arial" w:eastAsia="Arial" w:hAnsi="Arial"/>
          <w:sz w:val="18"/>
          <w:szCs w:val="18"/>
          <w:color w:val="auto"/>
        </w:rPr>
        <w:t>Established in 1990, Arm began as a joint venture between Acorn Computers, Apple Computer, and VLSI Technology. We were publicly listed on the London Stock Exchange and the Nasdaq Stock Market from 1998 until 2016, when we were taken private by SoftBank, our controlling shareholder.</w:t>
      </w:r>
    </w:p>
    <w:p>
      <w:pPr>
        <w:spacing w:after="0" w:line="184"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original joint venture set out to develop a processor that was high performance, power efficient, easy to program, and readily scalable—a goal that continues to define Arm today. Our CPUs initially gained significant traction in mobile phones in the mid-1990s because our energy-efficient processors provided an appropriate level of performance while consuming little power, which was critical for these smaller form factor devices. Over time, mobile phones, and the chips they used, became more advanced and ultimately evolved into the smartphones that are prevalent today. The Arm CPU proved to be critical in enabling the smartphone revolution.</w:t>
      </w:r>
    </w:p>
    <w:p>
      <w:pPr>
        <w:spacing w:after="0" w:line="176"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revolution.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Strategic Evolution</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cloud computing, networking, automotive, and IoT, most of which have strong secular tailwinds. Our investments have resulted in a diversified business with more durable growth.</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evolution included:</w:t>
      </w:r>
    </w:p>
    <w:p>
      <w:pPr>
        <w:spacing w:after="0" w:line="131" w:lineRule="exact"/>
        <w:rPr>
          <w:sz w:val="20"/>
          <w:szCs w:val="20"/>
          <w:color w:val="auto"/>
        </w:rPr>
      </w:pPr>
    </w:p>
    <w:p>
      <w:pPr>
        <w:ind w:left="1240" w:right="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a Market-Led Business with Products Optimized for Specific Verticals. </w:t>
      </w:r>
      <w:r>
        <w:rPr>
          <w:rFonts w:ascii="Arial" w:cs="Arial" w:eastAsia="Arial" w:hAnsi="Arial"/>
          <w:sz w:val="18"/>
          <w:szCs w:val="18"/>
          <w:color w:val="auto"/>
        </w:rPr>
        <w:t>We have developed multiple product families,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markets such as smartphones, cloud computing, networking, automotive and IoT.</w:t>
      </w:r>
    </w:p>
    <w:p>
      <w:pPr>
        <w:spacing w:after="0" w:line="75" w:lineRule="exact"/>
        <w:rPr>
          <w:rFonts w:ascii="Arial" w:cs="Arial" w:eastAsia="Arial" w:hAnsi="Arial"/>
          <w:sz w:val="18"/>
          <w:szCs w:val="18"/>
          <w:color w:val="auto"/>
        </w:rPr>
      </w:pPr>
    </w:p>
    <w:p>
      <w:pPr>
        <w:ind w:left="1240" w:right="160" w:hanging="415"/>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the New Armv9 Architecture. </w:t>
      </w:r>
      <w:r>
        <w:rPr>
          <w:rFonts w:ascii="Arial" w:cs="Arial" w:eastAsia="Arial" w:hAnsi="Arial"/>
          <w:sz w:val="18"/>
          <w:szCs w:val="18"/>
          <w:color w:val="auto"/>
        </w:rPr>
        <w:t>Leveraging the progress made by previous generations of our products, we embarked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w:t>
      </w:r>
    </w:p>
    <w:p>
      <w:pPr>
        <w:spacing w:after="0" w:line="29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90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312" w:lineRule="exact"/>
        <w:rPr>
          <w:sz w:val="20"/>
          <w:szCs w:val="20"/>
          <w:color w:val="auto"/>
        </w:rPr>
      </w:pPr>
    </w:p>
    <w:p>
      <w:pPr>
        <w:ind w:left="1240" w:right="200" w:hanging="415"/>
        <w:spacing w:after="0" w:line="308"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Broadening our Compute Platforms. </w:t>
      </w:r>
      <w:r>
        <w:rPr>
          <w:rFonts w:ascii="Arial" w:cs="Arial" w:eastAsia="Arial" w:hAnsi="Arial"/>
          <w:sz w:val="17"/>
          <w:szCs w:val="17"/>
          <w:color w:val="auto"/>
        </w:rPr>
        <w:t>We have curated, integrated, and optimized our CPU and system-design components together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foundational compute platforms to deliver best-in-class performance and energy efficiency for our customers.</w:t>
      </w:r>
    </w:p>
    <w:p>
      <w:pPr>
        <w:spacing w:after="0" w:line="51" w:lineRule="exact"/>
        <w:rPr>
          <w:rFonts w:ascii="Arial" w:cs="Arial" w:eastAsia="Arial" w:hAnsi="Arial"/>
          <w:sz w:val="17"/>
          <w:szCs w:val="17"/>
          <w:color w:val="auto"/>
        </w:rPr>
      </w:pPr>
    </w:p>
    <w:p>
      <w:pPr>
        <w:ind w:left="1240" w:right="80" w:hanging="415"/>
        <w:spacing w:after="0" w:line="279"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Expanding our Value Proposition for Customers. </w:t>
      </w:r>
      <w:r>
        <w:rPr>
          <w:rFonts w:ascii="Arial" w:cs="Arial" w:eastAsia="Arial" w:hAnsi="Arial"/>
          <w:sz w:val="17"/>
          <w:szCs w:val="17"/>
          <w:color w:val="auto"/>
        </w:rPr>
        <w:t>As building chips using the most advanced manufacturing processes became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complex and more costly, the opportunity to expand our product offerings to our customers increased. As a result, we have created more advanced and optimized CPU products that enable us to provide more value to our customers by giving their devices more functionality and more performance while using less power and at lower cost.</w:t>
      </w:r>
    </w:p>
    <w:p>
      <w:pPr>
        <w:spacing w:after="0" w:line="76" w:lineRule="exact"/>
        <w:rPr>
          <w:rFonts w:ascii="Arial" w:cs="Arial" w:eastAsia="Arial" w:hAnsi="Arial"/>
          <w:sz w:val="17"/>
          <w:szCs w:val="17"/>
          <w:color w:val="auto"/>
        </w:rPr>
      </w:pPr>
    </w:p>
    <w:p>
      <w:pPr>
        <w:ind w:left="1240" w:right="180" w:hanging="415"/>
        <w:spacing w:after="0" w:line="275"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Introducing New Licensing Models with Increased Focus on Maximizing Royalty Opportunities. </w:t>
      </w:r>
      <w:r>
        <w:rPr>
          <w:rFonts w:ascii="Arial" w:cs="Arial" w:eastAsia="Arial" w:hAnsi="Arial"/>
          <w:sz w:val="17"/>
          <w:szCs w:val="17"/>
          <w:color w:val="auto"/>
        </w:rPr>
        <w:t>By licensing a portfolio of Arm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w:t>
      </w:r>
    </w:p>
    <w:p>
      <w:pPr>
        <w:spacing w:after="0" w:line="81" w:lineRule="exact"/>
        <w:rPr>
          <w:rFonts w:ascii="Arial" w:cs="Arial" w:eastAsia="Arial" w:hAnsi="Arial"/>
          <w:sz w:val="17"/>
          <w:szCs w:val="17"/>
          <w:color w:val="auto"/>
        </w:rPr>
      </w:pPr>
    </w:p>
    <w:p>
      <w:pPr>
        <w:ind w:left="1240" w:right="20" w:hanging="415"/>
        <w:spacing w:after="0" w:line="25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Diversifying and Deepening our Relationships with Market Leaders</w:t>
      </w:r>
      <w:r>
        <w:rPr>
          <w:rFonts w:ascii="Arial" w:cs="Arial" w:eastAsia="Arial" w:hAnsi="Arial"/>
          <w:sz w:val="18"/>
          <w:szCs w:val="18"/>
          <w:color w:val="auto"/>
        </w:rPr>
        <w:t>. We have established close partnerships with leading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all of our target markets, including, among others, Guangdong OPPO Mobile Telecommunications Corp., Ltd., Samsung, vivo Mobile Communication Co., Ltd. and Xiaomi Communications Co., Ltd. in mobile computing, Amazon and Alibaba Group Holding Limited in cloud compute, Cruise and Mercedes-Benz in advanced automotive, and Raspberry Pi Ltd, Schneider Electric SE and Siemens AG in industrial IoT.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color w:val="auto"/>
        </w:rPr>
        <w:t>Semiconductors are indispensable to everyday life. In today’s technology-driven world, semiconductors are the enablers of the devices and infrastructure that facilitate virtually everything people do, such as making a phone call, sending an email, storing files in the cloud, streaming videos, or travelling by car, train, or plane.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Proliferation of Smart, Connected Devices Supporting an Increasingly Digital World</w:t>
      </w:r>
    </w:p>
    <w:p>
      <w:pPr>
        <w:spacing w:after="0" w:line="117" w:lineRule="exact"/>
        <w:rPr>
          <w:sz w:val="20"/>
          <w:szCs w:val="20"/>
          <w:color w:val="auto"/>
        </w:rPr>
      </w:pPr>
    </w:p>
    <w:p>
      <w:pPr>
        <w:ind w:left="300" w:right="120" w:firstLine="426"/>
        <w:spacing w:after="0" w:line="275" w:lineRule="auto"/>
        <w:rPr>
          <w:sz w:val="20"/>
          <w:szCs w:val="20"/>
          <w:color w:val="auto"/>
        </w:rPr>
      </w:pPr>
      <w:r>
        <w:rPr>
          <w:rFonts w:ascii="Arial" w:cs="Arial" w:eastAsia="Arial" w:hAnsi="Arial"/>
          <w:sz w:val="17"/>
          <w:szCs w:val="17"/>
          <w:color w:val="auto"/>
        </w:rPr>
        <w:t>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Increased Need for High-Performance, Power-Efficient Compute</w:t>
      </w:r>
    </w:p>
    <w:p>
      <w:pPr>
        <w:spacing w:after="0" w:line="117"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massive expansion of data, advanced software applications, and AI are driving the need for high-performance compute capabilities. To address increasingly complex workloads, a key approach has been to increase the speed of a CPU and expand the number of processor cores per chip. Solely running an existing chip faster may deliver more compute performance, but increasing performance results in higher energy costs, which may cause thermal limits to be exceeded. Collectively, these considerations result in the need for innovation in chip design to address market demands for an optimal balance of performance, efficiency, size, and cost across end markets.</w:t>
      </w: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Increasing Complexity and Cost of Designing Leading-Edge Solutions</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The resources required to develop leading-edge products are significant and continue to increase exponentially as manufacturing process nodes shrink. According to the International Business Strategy, Inc. (“IBS”), IC design costs in 2022 were approximately $48 million for a 28nm chip and approximately $725 million for a 2nm chip. Design partners play an increasingly valuable role in the chip design process by providing specialized capabilities and expertise that enable semiconductor suppliers to focus on their core product differentiation, while keeping pace with market innovation. Design partners facilitate innovation and enhance customers’ competitive positioning by reducing the complexity, risk, and cost of a significant part of the development cycle. In addition, design partners, like Arm, that can demonstrate a deep understanding of their customers’ workloads are better positioned to integrate themselves into their customers’ workflows, further expanding their value proposition over time.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In-House Development and Custom Silicon Chips</w:t>
      </w:r>
    </w:p>
    <w:p>
      <w:pPr>
        <w:spacing w:after="0" w:line="117"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in-house that deliver greater performance and greater efficiency at an equal or better price for a particular use case. The success of Arm-based products such as Amazon’s Graviton, deployed across Amazon data centers globally, have demonstrated the opportunity to create a sustainable competitive advantage through this approach. This trend of increasing use of in-house developed solutions has significantly expanded the opportunity for Arm.</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provide the most pervasive CPU architecture in the world. The key elements of our solution include:</w:t>
      </w:r>
    </w:p>
    <w:p>
      <w:pPr>
        <w:spacing w:after="0" w:line="131" w:lineRule="exact"/>
        <w:rPr>
          <w:sz w:val="20"/>
          <w:szCs w:val="20"/>
          <w:color w:val="auto"/>
        </w:rPr>
      </w:pPr>
    </w:p>
    <w:p>
      <w:pPr>
        <w:ind w:left="1240" w:right="2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Arm CPUs. </w:t>
      </w:r>
      <w:r>
        <w:rPr>
          <w:rFonts w:ascii="Arial" w:cs="Arial" w:eastAsia="Arial" w:hAnsi="Arial"/>
          <w:sz w:val="18"/>
          <w:szCs w:val="18"/>
          <w:color w:val="auto"/>
        </w:rPr>
        <w:t>The foundation of our product offerings is our market-leading CPU products. Our CPU products leverage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ISA and address the widest range of performance, power, and cost requirements.</w:t>
      </w:r>
    </w:p>
    <w:p>
      <w:pPr>
        <w:spacing w:after="0" w:line="71"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Other Design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portfolio of products that are deployed alongside our CPUs, including:</w:t>
      </w:r>
    </w:p>
    <w:p>
      <w:pPr>
        <w:spacing w:after="0" w:line="134" w:lineRule="exact"/>
        <w:rPr>
          <w:rFonts w:ascii="Arial" w:cs="Arial" w:eastAsia="Arial" w:hAnsi="Arial"/>
          <w:sz w:val="18"/>
          <w:szCs w:val="18"/>
          <w:color w:val="auto"/>
        </w:rPr>
      </w:pPr>
    </w:p>
    <w:p>
      <w:pPr>
        <w:ind w:left="1640" w:right="160" w:hanging="289"/>
        <w:spacing w:after="0" w:line="277"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Graphics Processing Units. </w:t>
      </w:r>
      <w:r>
        <w:rPr>
          <w:rFonts w:ascii="Arial" w:cs="Arial" w:eastAsia="Arial" w:hAnsi="Arial"/>
          <w:sz w:val="18"/>
          <w:szCs w:val="18"/>
          <w:color w:val="auto"/>
        </w:rPr>
        <w:t>We offer a family of GPU products providing an optimal visual experience across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w:t>
      </w:r>
    </w:p>
    <w:p>
      <w:pPr>
        <w:spacing w:after="0" w:line="75" w:lineRule="exact"/>
        <w:rPr>
          <w:rFonts w:ascii="Arial" w:cs="Arial" w:eastAsia="Arial" w:hAnsi="Arial"/>
          <w:sz w:val="18"/>
          <w:szCs w:val="18"/>
          <w:color w:val="auto"/>
        </w:rPr>
      </w:pPr>
    </w:p>
    <w:p>
      <w:pPr>
        <w:ind w:left="1640" w:right="160" w:hanging="289"/>
        <w:spacing w:after="0" w:line="277"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System IP. </w:t>
      </w:r>
      <w:r>
        <w:rPr>
          <w:rFonts w:ascii="Arial" w:cs="Arial" w:eastAsia="Arial" w:hAnsi="Arial"/>
          <w:sz w:val="18"/>
          <w:szCs w:val="18"/>
          <w:color w:val="auto"/>
        </w:rPr>
        <w:t>Complementary design components that enable designers to create high performance, power-efficient,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 chips.</w:t>
      </w:r>
    </w:p>
    <w:p>
      <w:pPr>
        <w:spacing w:after="0" w:line="75" w:lineRule="exact"/>
        <w:rPr>
          <w:rFonts w:ascii="Arial" w:cs="Arial" w:eastAsia="Arial" w:hAnsi="Arial"/>
          <w:sz w:val="18"/>
          <w:szCs w:val="18"/>
          <w:color w:val="auto"/>
        </w:rPr>
      </w:pPr>
    </w:p>
    <w:p>
      <w:pPr>
        <w:ind w:left="1640" w:right="600" w:hanging="289"/>
        <w:spacing w:after="0" w:line="277"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 Platform Products. </w:t>
      </w:r>
      <w:r>
        <w:rPr>
          <w:rFonts w:ascii="Arial" w:cs="Arial" w:eastAsia="Arial" w:hAnsi="Arial"/>
          <w:sz w:val="18"/>
          <w:szCs w:val="18"/>
          <w:color w:val="auto"/>
        </w:rPr>
        <w:t>Arm’s CPU, GPU, and System IP products integrate into a foundational compute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a specific end market.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Tools and Software. </w:t>
      </w:r>
      <w:r>
        <w:rPr>
          <w:rFonts w:ascii="Arial" w:cs="Arial" w:eastAsia="Arial" w:hAnsi="Arial"/>
          <w:sz w:val="18"/>
          <w:szCs w:val="18"/>
          <w:color w:val="auto"/>
        </w:rPr>
        <w:t>Our tools and software support the development and deployment of our offerings.</w:t>
      </w:r>
    </w:p>
    <w:p>
      <w:pPr>
        <w:spacing w:after="0" w:line="225" w:lineRule="exact"/>
        <w:rPr>
          <w:sz w:val="20"/>
          <w:szCs w:val="20"/>
          <w:color w:val="auto"/>
        </w:rPr>
      </w:pPr>
    </w:p>
    <w:p>
      <w:pPr>
        <w:ind w:left="300" w:right="40" w:firstLine="426"/>
        <w:spacing w:after="0" w:line="311" w:lineRule="auto"/>
        <w:rPr>
          <w:sz w:val="20"/>
          <w:szCs w:val="20"/>
          <w:color w:val="auto"/>
        </w:rPr>
      </w:pPr>
      <w:r>
        <w:rPr>
          <w:rFonts w:ascii="Arial" w:cs="Arial" w:eastAsia="Arial" w:hAnsi="Arial"/>
          <w:sz w:val="16"/>
          <w:szCs w:val="16"/>
          <w:color w:val="auto"/>
        </w:rPr>
        <w:t>We continue to expand the scope of our product offerings, investing in more holistic, end-market optimized designs, expanding beyond individual design IP to providing subsystem designs. Given the complexities of developing chips using the most advanced manufacturing processes, we are making significant investments to better support the increasing number of OEMs looking to develop their own customized chips.</w:t>
      </w:r>
    </w:p>
    <w:p>
      <w:pPr>
        <w:spacing w:after="0" w:line="25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304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312"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In addition, we have cultivated a broad ecosystem of third-party hardware and software partners to support our customers. Our partners include leading semiconductor technology suppliers, including foundries (such as GlobalFoundries Inc., Intel’s Foundry Services business, Taiwan Semiconductor Manufacturing Company Limited and United Microelectronics Corporation) and EDA vendors (such as Cadence Design Systems, Inc., Synopsys, Inc. and Siemens). We also invest in our software ecosystem and work closely with firmware and operating system vendors (such as Amazon Linux, Canonical Ltd., Google LLC, Microsoft, Red Hat, Inc., VMware, Inc. and Wind River Systems, Inc.), game engine vendors (such as Unity and Epic Games), software tool providers (such as Green Hills Software LLC, IAR Systems AB and Lauterbach GmbH), and application software developers (such as Adobe Inc., EA, King.com Ltd. and Microsoft).</w:t>
      </w:r>
    </w:p>
    <w:p>
      <w:pPr>
        <w:spacing w:after="0" w:line="177"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that the primary customer benefits of our solution include:</w:t>
      </w:r>
    </w:p>
    <w:p>
      <w:pPr>
        <w:spacing w:after="0" w:line="131" w:lineRule="exact"/>
        <w:rPr>
          <w:sz w:val="20"/>
          <w:szCs w:val="20"/>
          <w:color w:val="auto"/>
        </w:rPr>
      </w:pPr>
    </w:p>
    <w:p>
      <w:pPr>
        <w:ind w:left="1240" w:right="80" w:hanging="415"/>
        <w:spacing w:after="0" w:line="25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Optimize for Performance, Power and Area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flexible and modular design IP enables customers to build chips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w:t>
      </w:r>
    </w:p>
    <w:p>
      <w:pPr>
        <w:spacing w:after="0" w:line="93" w:lineRule="exact"/>
        <w:rPr>
          <w:rFonts w:ascii="Arial" w:cs="Arial" w:eastAsia="Arial" w:hAnsi="Arial"/>
          <w:sz w:val="18"/>
          <w:szCs w:val="18"/>
          <w:color w:val="auto"/>
        </w:rPr>
      </w:pPr>
    </w:p>
    <w:p>
      <w:pPr>
        <w:ind w:left="1240" w:right="60" w:hanging="415"/>
        <w:spacing w:after="0" w:line="29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Alignment with the Semiconductor Industry’s Technology Roadmap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leading-edge manufacturing processes continue to progress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w:t>
      </w:r>
    </w:p>
    <w:p>
      <w:pPr>
        <w:spacing w:after="0" w:line="71" w:lineRule="exact"/>
        <w:rPr>
          <w:rFonts w:ascii="Arial" w:cs="Arial" w:eastAsia="Arial" w:hAnsi="Arial"/>
          <w:sz w:val="16"/>
          <w:szCs w:val="16"/>
          <w:color w:val="auto"/>
        </w:rPr>
      </w:pPr>
    </w:p>
    <w:p>
      <w:pPr>
        <w:ind w:left="1240" w:right="220" w:hanging="415"/>
        <w:spacing w:after="0" w:line="275"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Reduced Design Risk and Cost. </w:t>
      </w:r>
      <w:r>
        <w:rPr>
          <w:rFonts w:ascii="Arial" w:cs="Arial" w:eastAsia="Arial" w:hAnsi="Arial"/>
          <w:sz w:val="17"/>
          <w:szCs w:val="17"/>
          <w:color w:val="auto"/>
        </w:rPr>
        <w:t>Our solution allows customers to build optimized chips, while reducing their design execution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w:t>
      </w:r>
    </w:p>
    <w:p>
      <w:pPr>
        <w:spacing w:after="0" w:line="81" w:lineRule="exact"/>
        <w:rPr>
          <w:rFonts w:ascii="Arial" w:cs="Arial" w:eastAsia="Arial" w:hAnsi="Arial"/>
          <w:sz w:val="17"/>
          <w:szCs w:val="17"/>
          <w:color w:val="auto"/>
        </w:rPr>
      </w:pPr>
    </w:p>
    <w:p>
      <w:pPr>
        <w:ind w:left="1240" w:hanging="415"/>
        <w:spacing w:after="0" w:line="273"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Incorporation of AI and ML Acceleration in Every Processor We Design. </w:t>
      </w:r>
      <w:r>
        <w:rPr>
          <w:rFonts w:ascii="Arial" w:cs="Arial" w:eastAsia="Arial" w:hAnsi="Arial"/>
          <w:sz w:val="17"/>
          <w:szCs w:val="17"/>
          <w:color w:val="auto"/>
        </w:rPr>
        <w:t>Using an AI or ML algorithm is just another way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We define our total addressable market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w:t>
      </w:r>
    </w:p>
    <w:p>
      <w:pPr>
        <w:spacing w:after="0" w:line="29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70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312"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For the calendar year ended December 31, 2022, we estimate that our TAM was approximately $202.5 billion and we forecast that our TAM will grow at a 6.8% compound annual growth rate (“CAGR”) to approximately $246.6 billion by the end of the calendar year ending December 31, 2025. We estimate that the aggregate value of chips containing Arm technology was approximately $98.9 billion in the calendar year ended December 31, 2022, representing an approximate 48.9% market share. We estimate that our royalty revenue today represents approximately 1.7%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 Our calculation of TAM is based on a combination of third-party sources, customer reports and our own internal assessments and judgment.</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Mobile Applications Processor</w:t>
      </w:r>
    </w:p>
    <w:p>
      <w:pPr>
        <w:spacing w:after="0" w:line="117"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expect the mobile applications processor market to grow from approximately $29.9 billion in the calendar year ended December 31, 2022 to approximately $36.0 billion in the calendar year ending December 31, 2025, representing a CAGR of 6.4% over that period. We have maintained market share in the mobile applications processor market of greater than 99% for many years, by virtue of all key mobile operating systems depending on Arm processors.</w:t>
      </w:r>
    </w:p>
    <w:p>
      <w:pPr>
        <w:spacing w:after="0" w:line="195"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We expect the value of the market for mobile applications processors to continue to grow, particularly in light of several smartphone usage trends that are increasing the need for high-performance processing capabilities, including the shift to 5G, growth in mobile gaming, and emergence of AI and ML workloads.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Mobile Chips</w:t>
      </w:r>
    </w:p>
    <w:p>
      <w:pPr>
        <w:spacing w:after="0" w:line="117"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We expect the other mobile chips market to remain relatively flat at approximately $17.6 billion in the calendar year ended December 31, 2022 and approximately $17.5 billion in the calendar year ending December 31, 2025, representing a CAGR of (0.2)% over that period.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Consumer Electronics</w:t>
      </w:r>
    </w:p>
    <w:p>
      <w:pPr>
        <w:spacing w:after="0" w:line="117"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CE includes products found in the home, such as digital TVs, tablets, laptops, extended reality (“XR”) headsets and wearables. The market share of Arm-based chips in consumer electronics is increasing as new product categories, such as smart speakers, XR headsets and laptops, adopt Arm products to achieve high performance without sacrificing efficiency. We expect the CE chip market to grow from approximately $46.9 billion in the calendar year ended December 31, 2022 to approximately $53.2 billion in the calendar year ending December 31, 2025, representing a CAGR of 4.3% over that period.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Industrial IoT and Embedded</w:t>
      </w:r>
    </w:p>
    <w:p>
      <w:pPr>
        <w:spacing w:after="0" w:line="117" w:lineRule="exact"/>
        <w:rPr>
          <w:sz w:val="20"/>
          <w:szCs w:val="20"/>
          <w:color w:val="auto"/>
        </w:rPr>
      </w:pPr>
    </w:p>
    <w:p>
      <w:pPr>
        <w:jc w:val="both"/>
        <w:ind w:left="300" w:right="680" w:firstLine="426"/>
        <w:spacing w:after="0" w:line="263" w:lineRule="auto"/>
        <w:rPr>
          <w:sz w:val="20"/>
          <w:szCs w:val="20"/>
          <w:color w:val="auto"/>
        </w:rPr>
      </w:pPr>
      <w:r>
        <w:rPr>
          <w:rFonts w:ascii="Arial" w:cs="Arial" w:eastAsia="Arial" w:hAnsi="Arial"/>
          <w:sz w:val="18"/>
          <w:szCs w:val="18"/>
          <w:color w:val="auto"/>
        </w:rPr>
        <w:t>The industrial IoT and embedded semiconductor TAM includes chips used by a wide range of goods, including washing machines, thermostats, digital cameras, drones, sensors, surveillance cameras, manufacturing equipment, robotics, electric motor controllers and city infrastructure and building management equipment. We</w:t>
      </w:r>
    </w:p>
    <w:p>
      <w:pPr>
        <w:spacing w:after="0" w:line="29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33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312" w:lineRule="exact"/>
        <w:rPr>
          <w:sz w:val="20"/>
          <w:szCs w:val="20"/>
          <w:color w:val="auto"/>
        </w:rPr>
      </w:pPr>
    </w:p>
    <w:p>
      <w:pPr>
        <w:ind w:left="300" w:right="200"/>
        <w:spacing w:after="0" w:line="308" w:lineRule="auto"/>
        <w:rPr>
          <w:sz w:val="20"/>
          <w:szCs w:val="20"/>
          <w:color w:val="auto"/>
        </w:rPr>
      </w:pPr>
      <w:r>
        <w:rPr>
          <w:rFonts w:ascii="Arial" w:cs="Arial" w:eastAsia="Arial" w:hAnsi="Arial"/>
          <w:sz w:val="17"/>
          <w:szCs w:val="17"/>
          <w:color w:val="auto"/>
        </w:rPr>
        <w:t>expect the industrial IoT and embedded chip market to grow from approximately $41.5 billion in the calendar year ended December 31, 2022 to $50.5 billion in the calendar year ending December 31, 2025, representing a CAGR of 6.7% over that period.</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Networking Equipment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networking equipment TAM includes chips deployed into wireless networking such as base-station equipment, enterprise Wi-Fi,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wired networking equipment such as routers and switches. The market is growing as more wired and wireless infrastructure is deployed, as much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the data consumed in the cloud is created at the edge and needs to be transmitted over networks to the data center for processing. We expect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networking equipment chip market to grow from approximately $17.2 billion in the calendar year ended December 31, 2022 to approximately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$18.2 billion in the calendar year ending December 31, 2025, representing a CAGR of 1.8% over that period. Arm is poised to accelerate market-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share gains resulting from the deployment of 5G networks, as infrastructure scales from fewer large cell towers covering a wide area to a large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number of small cells providing high-speed coverage, with a single architecture across both large and small cells to allow for flexible deployment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software and workloads.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Cloud Compute</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The cloud compute market includes the main server chips, data processing units (DPUs), and smart network interface cards (SmartNICs) used by CSPs to run their operations. The increase in cloud computing has been driven by the rapid increase in data traffic generated by consumers and enterprises globally and by the migration of enterprise workloads to the cloud. We expect the cloud compute market to grow from approximately $17.9 billion in the calendar year ended December 31, 2022 to approximately $28.4 billion in the calendar year ending December 31, 2025, representing a CAGR of 16.6% over that period.</w:t>
      </w:r>
    </w:p>
    <w:p>
      <w:pPr>
        <w:spacing w:after="0" w:line="188"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Arm-based chips have been gaining market share as CSPs have started to deploy Arm products in their own in-house designed chips used in their data centers, and as other CSPs start to deploy chips designed by Arm licensees. As a result, we expect our market share of cloud compute to grow significantly faster than the overall cloud compute market.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Infrastructure</w:t>
      </w:r>
    </w:p>
    <w:p>
      <w:pPr>
        <w:spacing w:after="0" w:line="117"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Other Infrastructure refers to the technological components and systems that support various aspects of computing, networking, and data processing and include chips deployed into high-performance computing (HPC) systems, enterprise servers, and edge networking equipment. We expect the other infrastructure market to grow from approximately $12.7 billion in the calendar year ended December 31, 2022 to approximately $13.7 billion in the calendar year ending December 31, 2025, representing a CAGR of 2.7% over that period.</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7"/>
          <w:szCs w:val="17"/>
          <w:color w:val="auto"/>
        </w:rPr>
        <w:t>Our automotive TAM includes all chips with processors within vehicles. This includes chips used for IVI, ADAS, engine management, and body and chassis control. The automotive TAM is expected to increase as ADAS, electrification, IVI, and eventually autonomous driving, accelerate requirements for higher compute performance in newly manufactured vehicles. We expect the automotive chip market to grow from approximately $18.8 billion in the calendar year ended December 31, 2022 to approximately $29.1 billion in the calendar year ending December 31, 2025, representing a CAGR of 15.7% over that period. Today, our market share in the automotive market is highest in more technologically advanced functional areas such as IVI and ADAS. As automotive electronics continue to transition from hardware-defined to software-defined architecture and compute, a trend that mirrors evolution of the smartphone, we believe we are well-positioned to outpace the growth of the overall automotive market.</w:t>
      </w:r>
    </w:p>
    <w:p>
      <w:pPr>
        <w:spacing w:after="0" w:line="2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9" w:right="6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62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 and Customers</w:t>
      </w:r>
    </w:p>
    <w:p>
      <w:pPr>
        <w:spacing w:after="0" w:line="121" w:lineRule="exact"/>
        <w:rPr>
          <w:sz w:val="20"/>
          <w:szCs w:val="20"/>
          <w:color w:val="auto"/>
        </w:rPr>
      </w:pPr>
    </w:p>
    <w:p>
      <w:pPr>
        <w:ind w:left="300" w:right="340" w:firstLine="426"/>
        <w:spacing w:after="0" w:line="293" w:lineRule="auto"/>
        <w:rPr>
          <w:sz w:val="20"/>
          <w:szCs w:val="20"/>
          <w:color w:val="auto"/>
        </w:rPr>
      </w:pPr>
      <w:r>
        <w:rPr>
          <w:rFonts w:ascii="Arial" w:cs="Arial" w:eastAsia="Arial" w:hAnsi="Arial"/>
          <w:sz w:val="16"/>
          <w:szCs w:val="16"/>
          <w:color w:val="auto"/>
        </w:rPr>
        <w:t>Our open and flexible business model provides access to high quality CPU products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We have enjoyed success for more than 30 years by providing market-leading technology, adapting our solution to changing market needs and building a software developer ecosystem unlike any other in history. Our competitive strengths include:</w:t>
      </w:r>
    </w:p>
    <w:p>
      <w:pPr>
        <w:spacing w:after="0" w:line="72" w:lineRule="exact"/>
        <w:rPr>
          <w:sz w:val="20"/>
          <w:szCs w:val="20"/>
          <w:color w:val="auto"/>
        </w:rPr>
      </w:pPr>
    </w:p>
    <w:p>
      <w:pPr>
        <w:ind w:left="1240" w:right="20" w:hanging="415"/>
        <w:spacing w:after="0" w:line="274"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Technology Leadership with Proven Capabilities Across Markets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Arm’s CPU technology has been an industry leader for many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continues to be the most widely deployed architecture globally. We estimate that Arm had an approximate 49% market share by value in the calendar year ended December 31, 2022, up from approximately 39% in the calendar year ended December 31, 2014. Our products are used in virtually all smartphones, a majority of tablets and digital TVs, and a significant proportion of all chips with embedded processors. We have an established presence in the cloud market, working with many of the largest hyperscalers, and in the automotive market, we work with leading OEMs and suppliers.</w:t>
      </w:r>
    </w:p>
    <w:p>
      <w:pPr>
        <w:spacing w:after="0" w:line="78" w:lineRule="exact"/>
        <w:rPr>
          <w:rFonts w:ascii="Arial" w:cs="Arial" w:eastAsia="Arial" w:hAnsi="Arial"/>
          <w:sz w:val="17"/>
          <w:szCs w:val="17"/>
          <w:color w:val="auto"/>
        </w:rPr>
      </w:pPr>
    </w:p>
    <w:p>
      <w:pPr>
        <w:ind w:left="1240" w:hanging="415"/>
        <w:spacing w:after="0" w:line="272"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World’s Most Extensive Ecosystem of Third-Party Software and Hardware Partners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Arm has the world’s largest ecosystem of third-party software and hardware partners, including chip design and verification tools vendors, advanced fabrication, operating system and application vendors, software tools providers, and training and support services companies. As of March 31, 2023, more than 1,000 partner companies were invested in developing products that complement Arm’s technology and there were more than 8 million apps running on Arm-based devices built by more than 15 million developers designing software for Arm-based systems.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w:t>
      </w:r>
    </w:p>
    <w:p>
      <w:pPr>
        <w:spacing w:after="0" w:line="77" w:lineRule="exact"/>
        <w:rPr>
          <w:rFonts w:ascii="Arial" w:cs="Arial" w:eastAsia="Arial" w:hAnsi="Arial"/>
          <w:sz w:val="17"/>
          <w:szCs w:val="17"/>
          <w:color w:val="auto"/>
        </w:rPr>
      </w:pPr>
    </w:p>
    <w:p>
      <w:pPr>
        <w:ind w:left="1240" w:right="240" w:hanging="415"/>
        <w:spacing w:after="0" w:line="271"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Deep Integration with Customers and Ecosystem Partners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work closely with our customers and ecosystem partners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understand future industry trends and the evolution of end markets. We have 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w:t>
      </w:r>
    </w:p>
    <w:p>
      <w:pPr>
        <w:spacing w:after="0" w:line="83" w:lineRule="exact"/>
        <w:rPr>
          <w:rFonts w:ascii="Arial" w:cs="Arial" w:eastAsia="Arial" w:hAnsi="Arial"/>
          <w:sz w:val="17"/>
          <w:szCs w:val="17"/>
          <w:color w:val="auto"/>
        </w:rPr>
      </w:pPr>
    </w:p>
    <w:p>
      <w:pPr>
        <w:ind w:left="1240" w:right="480" w:hanging="415"/>
        <w:spacing w:after="0" w:line="259"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Efficient Model and Long-Term Visibility Enables Investment in Future Products. </w:t>
      </w:r>
      <w:r>
        <w:rPr>
          <w:rFonts w:ascii="Arial" w:cs="Arial" w:eastAsia="Arial" w:hAnsi="Arial"/>
          <w:sz w:val="18"/>
          <w:szCs w:val="18"/>
          <w:color w:val="auto"/>
        </w:rPr>
        <w:t>Our business model provides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flexibility to fund long-term investments in future products. We have a capital-light and people-focused model, with most of our investments directed at hiring and retaining engineers undertaking advanced research and development. In the fiscal year ended March 31, 2023,</w:t>
      </w:r>
    </w:p>
    <w:p>
      <w:pPr>
        <w:spacing w:after="0" w:line="29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619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312" w:lineRule="exact"/>
        <w:rPr>
          <w:sz w:val="20"/>
          <w:szCs w:val="20"/>
          <w:color w:val="auto"/>
        </w:rPr>
      </w:pPr>
    </w:p>
    <w:p>
      <w:pPr>
        <w:ind w:left="1240" w:right="20"/>
        <w:spacing w:after="0" w:line="255" w:lineRule="auto"/>
        <w:rPr>
          <w:sz w:val="20"/>
          <w:szCs w:val="20"/>
          <w:color w:val="auto"/>
        </w:rPr>
      </w:pPr>
      <w:r>
        <w:rPr>
          <w:rFonts w:ascii="Arial" w:cs="Arial" w:eastAsia="Arial" w:hAnsi="Arial"/>
          <w:sz w:val="18"/>
          <w:szCs w:val="18"/>
          <w:color w:val="auto"/>
        </w:rPr>
        <w:t>we generated $2,573 million gross profit, allowing us to fund extensive investments in research and development for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w:t>
      </w:r>
    </w:p>
    <w:p>
      <w:pPr>
        <w:spacing w:after="0" w:line="98" w:lineRule="exact"/>
        <w:rPr>
          <w:sz w:val="20"/>
          <w:szCs w:val="20"/>
          <w:color w:val="auto"/>
        </w:rPr>
      </w:pPr>
    </w:p>
    <w:p>
      <w:pPr>
        <w:ind w:left="1240" w:right="100" w:hanging="415"/>
        <w:spacing w:after="0" w:line="254"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Satisfy our Customers’ Processor Design Needs in a Mutually Beneficial Way. </w:t>
      </w:r>
      <w:r>
        <w:rPr>
          <w:rFonts w:ascii="Arial" w:cs="Arial" w:eastAsia="Arial" w:hAnsi="Arial"/>
          <w:sz w:val="18"/>
          <w:szCs w:val="18"/>
          <w:color w:val="auto"/>
        </w:rPr>
        <w:t>We invest extensively in creating leading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that can be used across 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 house.</w:t>
      </w:r>
    </w:p>
    <w:p>
      <w:pPr>
        <w:spacing w:after="0" w:line="100" w:lineRule="exact"/>
        <w:rPr>
          <w:rFonts w:ascii="Arial" w:cs="Arial" w:eastAsia="Arial" w:hAnsi="Arial"/>
          <w:sz w:val="18"/>
          <w:szCs w:val="18"/>
          <w:color w:val="auto"/>
        </w:rPr>
      </w:pPr>
    </w:p>
    <w:p>
      <w:pPr>
        <w:ind w:left="1240" w:hanging="415"/>
        <w:spacing w:after="0" w:line="25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World-Class R&amp;D Team with a Proven Track Record of Innovation. </w:t>
      </w:r>
      <w:r>
        <w:rPr>
          <w:rFonts w:ascii="Arial" w:cs="Arial" w:eastAsia="Arial" w:hAnsi="Arial"/>
          <w:sz w:val="18"/>
          <w:szCs w:val="18"/>
          <w:color w:val="auto"/>
        </w:rPr>
        <w:t>We are an engineering-first company, with 4,753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or approximately 80% of our global employees, as of March 31, 2023, focused on research, design, and technical innovation. Our customers rely on us to deliver advanced technology, leveraging our extensive capabilities and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300" w:right="320"/>
        <w:spacing w:after="0" w:line="263" w:lineRule="auto"/>
        <w:rPr>
          <w:sz w:val="20"/>
          <w:szCs w:val="20"/>
          <w:color w:val="auto"/>
        </w:rPr>
      </w:pPr>
      <w:r>
        <w:rPr>
          <w:rFonts w:ascii="Arial" w:cs="Arial" w:eastAsia="Arial" w:hAnsi="Arial"/>
          <w:sz w:val="18"/>
          <w:szCs w:val="18"/>
          <w:color w:val="auto"/>
        </w:rPr>
        <w:t>We assess our investments through the lens of sustainable growth. Our research and development and new business initiatives are often tied to revenue streams five to ten years in the future, while our historical investments drive revenue and enable profitability and cash flow generation today. Key levers of our growth strategy are:</w:t>
      </w:r>
    </w:p>
    <w:p>
      <w:pPr>
        <w:spacing w:after="0" w:line="89" w:lineRule="exact"/>
        <w:rPr>
          <w:sz w:val="20"/>
          <w:szCs w:val="20"/>
          <w:color w:val="auto"/>
        </w:rPr>
      </w:pPr>
    </w:p>
    <w:p>
      <w:pPr>
        <w:ind w:left="1240" w:right="20" w:hanging="415"/>
        <w:spacing w:after="0" w:line="275"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Gain or Maintain Share in Long-Term Growth Markets. </w:t>
      </w:r>
      <w:r>
        <w:rPr>
          <w:rFonts w:ascii="Arial" w:cs="Arial" w:eastAsia="Arial" w:hAnsi="Arial"/>
          <w:sz w:val="17"/>
          <w:szCs w:val="17"/>
          <w:color w:val="auto"/>
        </w:rPr>
        <w:t>We already have significant market share in some high-value markets,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mobile applications processors, which enables us to invest in other growth opportunities. As of December 31, 2022, our market share in growth markets, including cloud computing, networking equipment, automotive and consumer electronics, was 10%, 26%, 41%, and 32%, respectively. We believe that the increasing need for high-powered and energy-efficient computing, as well as our continued investments, will enable us to grow our market share in these segments.</w:t>
      </w:r>
    </w:p>
    <w:p>
      <w:pPr>
        <w:spacing w:after="0" w:line="81" w:lineRule="exact"/>
        <w:rPr>
          <w:rFonts w:ascii="Arial" w:cs="Arial" w:eastAsia="Arial" w:hAnsi="Arial"/>
          <w:sz w:val="17"/>
          <w:szCs w:val="17"/>
          <w:color w:val="auto"/>
        </w:rPr>
      </w:pPr>
    </w:p>
    <w:p>
      <w:pPr>
        <w:ind w:left="1240" w:right="40" w:hanging="415"/>
        <w:spacing w:after="0" w:line="30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Increase the Value of Arm Processors in Every Smart Device</w:t>
      </w:r>
      <w:r>
        <w:rPr>
          <w:rFonts w:ascii="Arial" w:cs="Arial" w:eastAsia="Arial" w:hAnsi="Arial"/>
          <w:sz w:val="16"/>
          <w:szCs w:val="16"/>
          <w:color w:val="auto"/>
        </w:rPr>
        <w:t>. As chip designs become more advanced and complex, we believe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investments in additional functionality, higher performance, higher efficiency, and more specialized designs will allow us to deliver more value to our customers. These innovations enable us to license more advanced Arm products, and for our customers to implement Arm-based chips with multiple CPUs and more cores, all of which allow us to capture more value per chip.</w:t>
      </w:r>
    </w:p>
    <w:p>
      <w:pPr>
        <w:spacing w:after="0" w:line="26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15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312" w:lineRule="exact"/>
        <w:rPr>
          <w:sz w:val="20"/>
          <w:szCs w:val="20"/>
          <w:color w:val="auto"/>
        </w:rPr>
      </w:pPr>
    </w:p>
    <w:p>
      <w:pPr>
        <w:ind w:left="1240" w:right="100" w:hanging="415"/>
        <w:spacing w:after="0" w:line="290"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System IP and SoC Offerings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enable further improvements in performance and efficiency, we continue to develop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broader set of configurable systems IP offerings, including proven on-chip interconnect, security IP, memory controllers, and other design IP to be used with our processors, including the integration of multiple IP technologies into a subsystem and additional information to assist in fabrication.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w:t>
      </w:r>
    </w:p>
    <w:p>
      <w:pPr>
        <w:spacing w:after="0" w:line="70" w:lineRule="exact"/>
        <w:rPr>
          <w:rFonts w:ascii="Arial" w:cs="Arial" w:eastAsia="Arial" w:hAnsi="Arial"/>
          <w:sz w:val="16"/>
          <w:szCs w:val="16"/>
          <w:color w:val="auto"/>
        </w:rPr>
      </w:pPr>
    </w:p>
    <w:p>
      <w:pPr>
        <w:ind w:left="1240" w:right="20" w:hanging="415"/>
        <w:spacing w:after="0" w:line="273"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Next-Generation Technologies. </w:t>
      </w:r>
      <w:r>
        <w:rPr>
          <w:rFonts w:ascii="Arial" w:cs="Arial" w:eastAsia="Arial" w:hAnsi="Arial"/>
          <w:sz w:val="17"/>
          <w:szCs w:val="17"/>
          <w:color w:val="auto"/>
        </w:rPr>
        <w:t>We continuously evaluate emerging markets and technologies that may enable us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 markets, such as consumer electronics and automotive, to deploy AI-based solutions. For the networking, cloud and data center markets, we continue to add AI-specific features to our CPUs to enable market-leading performance.</w:t>
      </w:r>
    </w:p>
    <w:p>
      <w:pPr>
        <w:spacing w:after="0" w:line="83" w:lineRule="exact"/>
        <w:rPr>
          <w:rFonts w:ascii="Arial" w:cs="Arial" w:eastAsia="Arial" w:hAnsi="Arial"/>
          <w:sz w:val="17"/>
          <w:szCs w:val="17"/>
          <w:color w:val="auto"/>
        </w:rPr>
      </w:pPr>
    </w:p>
    <w:p>
      <w:pPr>
        <w:ind w:left="1240" w:right="80" w:hanging="415"/>
        <w:spacing w:after="0" w:line="273"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Benefit from the Flexibility of Arm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Arm processor provides a certain compute capability within a power budget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the growing proliferation of devices and use cases.</w:t>
      </w:r>
    </w:p>
    <w:p>
      <w:pPr>
        <w:spacing w:after="0" w:line="83" w:lineRule="exact"/>
        <w:rPr>
          <w:rFonts w:ascii="Arial" w:cs="Arial" w:eastAsia="Arial" w:hAnsi="Arial"/>
          <w:sz w:val="17"/>
          <w:szCs w:val="17"/>
          <w:color w:val="auto"/>
        </w:rPr>
      </w:pPr>
    </w:p>
    <w:p>
      <w:pPr>
        <w:ind w:left="1240" w:hanging="415"/>
        <w:spacing w:after="0" w:line="271"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Access to Arm Products Through our Flexible Business Model. </w:t>
      </w:r>
      <w:r>
        <w:rPr>
          <w:rFonts w:ascii="Arial" w:cs="Arial" w:eastAsia="Arial" w:hAnsi="Arial"/>
          <w:sz w:val="17"/>
          <w:szCs w:val="17"/>
          <w:color w:val="auto"/>
        </w:rPr>
        <w:t>We are focused on making Arm products as easy as possible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access and to integrate into a chip design. We continuously assess ways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00" w:firstLine="426"/>
        <w:spacing w:after="0" w:line="291" w:lineRule="auto"/>
        <w:rPr>
          <w:sz w:val="20"/>
          <w:szCs w:val="20"/>
          <w:color w:val="auto"/>
        </w:rPr>
      </w:pPr>
      <w:r>
        <w:rPr>
          <w:rFonts w:ascii="Arial" w:cs="Arial" w:eastAsia="Arial" w:hAnsi="Arial"/>
          <w:sz w:val="16"/>
          <w:szCs w:val="16"/>
          <w:color w:val="auto"/>
        </w:rPr>
        <w:t>Arm Holdings plc was incorporated as a private limited company with the legal name Arm Holdings Limited under the laws of England and Wales on April 9, 2018, with the company number 11299879. Arm Holdings Limited re-registered as a public limited company under the laws of</w:t>
      </w:r>
    </w:p>
    <w:p>
      <w:pPr>
        <w:ind w:left="300"/>
        <w:spacing w:after="0"/>
        <w:tabs>
          <w:tab w:leader="none" w:pos="2480" w:val="left"/>
        </w:tabs>
        <w:rPr>
          <w:sz w:val="20"/>
          <w:szCs w:val="20"/>
          <w:color w:val="auto"/>
        </w:rPr>
      </w:pPr>
      <w:r>
        <w:rPr>
          <w:rFonts w:ascii="Arial" w:cs="Arial" w:eastAsia="Arial" w:hAnsi="Arial"/>
          <w:sz w:val="18"/>
          <w:szCs w:val="18"/>
          <w:color w:val="auto"/>
        </w:rPr>
        <w:t>England and Wales on</w:t>
      </w:r>
      <w:r>
        <w:rPr>
          <w:sz w:val="20"/>
          <w:szCs w:val="20"/>
          <w:color w:val="auto"/>
        </w:rPr>
        <w:tab/>
      </w:r>
      <w:r>
        <w:rPr>
          <w:rFonts w:ascii="Arial" w:cs="Arial" w:eastAsia="Arial" w:hAnsi="Arial"/>
          <w:sz w:val="16"/>
          <w:szCs w:val="16"/>
          <w:color w:val="auto"/>
        </w:rPr>
        <w:t>, 2023 and changed its name to Arm Holdings plc.</w:t>
      </w:r>
    </w:p>
    <w:p>
      <w:pPr>
        <w:spacing w:after="0" w:line="211" w:lineRule="exact"/>
        <w:rPr>
          <w:sz w:val="20"/>
          <w:szCs w:val="20"/>
          <w:color w:val="auto"/>
        </w:rPr>
      </w:pPr>
    </w:p>
    <w:p>
      <w:pPr>
        <w:ind w:left="300" w:right="40" w:firstLine="426"/>
        <w:spacing w:after="0" w:line="279" w:lineRule="auto"/>
        <w:rPr>
          <w:sz w:val="20"/>
          <w:szCs w:val="20"/>
          <w:color w:val="auto"/>
        </w:rPr>
      </w:pPr>
      <w:r>
        <w:rPr>
          <w:rFonts w:ascii="Arial" w:cs="Arial" w:eastAsia="Arial" w:hAnsi="Arial"/>
          <w:sz w:val="17"/>
          <w:szCs w:val="17"/>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(at which time it was a wholly owned subsidiary of Arm Holdings plc with the company number 02548782). Our business was initially operated through Arm Holdings</w:t>
      </w:r>
    </w:p>
    <w:p>
      <w:pPr>
        <w:spacing w:after="0" w:line="27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527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312" w:lineRule="exact"/>
        <w:rPr>
          <w:sz w:val="20"/>
          <w:szCs w:val="20"/>
          <w:color w:val="auto"/>
        </w:rPr>
      </w:pPr>
    </w:p>
    <w:p>
      <w:pPr>
        <w:ind w:left="300" w:right="80"/>
        <w:spacing w:after="0" w:line="287" w:lineRule="auto"/>
        <w:rPr>
          <w:sz w:val="20"/>
          <w:szCs w:val="20"/>
          <w:color w:val="auto"/>
        </w:rPr>
      </w:pPr>
      <w:r>
        <w:rPr>
          <w:rFonts w:ascii="Arial" w:cs="Arial" w:eastAsia="Arial" w:hAnsi="Arial"/>
          <w:sz w:val="16"/>
          <w:szCs w:val="16"/>
          <w:color w:val="auto"/>
        </w:rPr>
        <w:t>plc with the company number 02548782, which was previously an independent publicly traded corporation until its acquisition in September 2016 by SoftBank. On March 19, 2018, as a part of a reorganization, Arm Holdings plc with the company number 02548782 re-registered as a private limited company and was renamed SVF HoldCo (UK) Limited, which became a subsidiary of SoftBank Vision Fund L.P. (“SoftBank Vision</w:t>
      </w:r>
    </w:p>
    <w:p>
      <w:pPr>
        <w:spacing w:after="0" w:line="2" w:lineRule="exact"/>
        <w:rPr>
          <w:sz w:val="20"/>
          <w:szCs w:val="20"/>
          <w:color w:val="auto"/>
        </w:rPr>
      </w:pPr>
    </w:p>
    <w:p>
      <w:pPr>
        <w:jc w:val="both"/>
        <w:ind w:left="300" w:right="80"/>
        <w:spacing w:after="0" w:line="253" w:lineRule="auto"/>
        <w:rPr>
          <w:sz w:val="20"/>
          <w:szCs w:val="20"/>
          <w:color w:val="auto"/>
        </w:rPr>
      </w:pPr>
      <w:r>
        <w:rPr>
          <w:rFonts w:ascii="Arial" w:cs="Arial" w:eastAsia="Arial" w:hAnsi="Arial"/>
          <w:sz w:val="18"/>
          <w:szCs w:val="18"/>
          <w:color w:val="auto"/>
        </w:rPr>
        <w:t>Fund”), which retained an approximate 25% interest in our company with the remainder held by SoftBank. In , SoftBank Vision Fund transferred beneficial ownership of substantially all of our ordinary shares held by it and, accordingly, prior to this offering, SoftBank beneficially owns substantially all of our outstanding shares. Our registered office is 110 Fulbourn Road, Cambridge, Cambridgeshire, CB1 9NJ, U.K., and the telephone number at that office is +44 (1223) 400 400.</w:t>
      </w:r>
    </w:p>
    <w:p>
      <w:pPr>
        <w:spacing w:after="0" w:line="193"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principal office for Arm Inc., our U.S. subsidiary, is located at 120 Rose Orchard Way, San Jose, CA 95134, and our telephone number at that office is +1 (408) 576-1500.</w:t>
      </w:r>
    </w:p>
    <w:p>
      <w:pPr>
        <w:spacing w:after="0" w:line="170" w:lineRule="exact"/>
        <w:rPr>
          <w:sz w:val="20"/>
          <w:szCs w:val="20"/>
          <w:color w:val="auto"/>
        </w:rPr>
      </w:pPr>
    </w:p>
    <w:p>
      <w:pPr>
        <w:ind w:left="300" w:right="280" w:firstLine="426"/>
        <w:spacing w:after="0" w:line="311" w:lineRule="auto"/>
        <w:rPr>
          <w:sz w:val="20"/>
          <w:szCs w:val="20"/>
          <w:color w:val="auto"/>
        </w:rPr>
      </w:pPr>
      <w:r>
        <w:rPr>
          <w:rFonts w:ascii="Arial" w:cs="Arial" w:eastAsia="Arial" w:hAnsi="Arial"/>
          <w:sz w:val="16"/>
          <w:szCs w:val="16"/>
          <w:color w:val="auto"/>
        </w:rPr>
        <w:t>Our website address is www.arm.com. We have included our website address in this prospectus solely as an inactive textual reference. Information contained on, or that can be accessed through, our website is not incorporated by reference into this prospectus, and you should not consider information on our website to be part of this prospectus. Our agent for service of process in the United States is Arm, Inc.</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Reorganization</w:t>
      </w:r>
    </w:p>
    <w:p>
      <w:pPr>
        <w:spacing w:after="0" w:line="121" w:lineRule="exact"/>
        <w:rPr>
          <w:sz w:val="20"/>
          <w:szCs w:val="20"/>
          <w:color w:val="auto"/>
        </w:rPr>
      </w:pPr>
    </w:p>
    <w:p>
      <w:pPr>
        <w:ind w:left="300" w:right="220" w:firstLine="426"/>
        <w:spacing w:after="0" w:line="286" w:lineRule="auto"/>
        <w:rPr>
          <w:sz w:val="20"/>
          <w:szCs w:val="20"/>
          <w:color w:val="auto"/>
        </w:rPr>
      </w:pPr>
      <w:r>
        <w:rPr>
          <w:rFonts w:ascii="Arial" w:cs="Arial" w:eastAsia="Arial" w:hAnsi="Arial"/>
          <w:sz w:val="16"/>
          <w:szCs w:val="16"/>
          <w:color w:val="auto"/>
        </w:rPr>
        <w:t>Prior to the completion of this offering, we undertook a corporate reorganization pursuant to which Arm Holdings Limited acquired all the issued ordinary shares of Arm Limited. In connection with the corporate reorganization, the shareholders of Arm Limited exchanged each of the ordinary shares held by them in Arm Limited for newly issued ordinary shares of Arm Holdings Limited of the same class and in the same proportions as their previous shareholdings in Arm Limited. As a result, Arm Limited became a wholly-owned subsidiary of Arm Holdings</w:t>
      </w:r>
    </w:p>
    <w:p>
      <w:pPr>
        <w:spacing w:after="0" w:line="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Limited. On , 2023, Arm Holdings Limited re-registered as a public limited company under the laws of England and Wales and changed its name from Arm Holdings Limited to Arm Holdings plc. The consolidated financial statements included in this prospectus do not show the effect of the corporate reorganization. See “Corporate Reorganization” for more information.</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ADSs. Among these important risks are the following: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Our Business and Industry</w:t>
      </w:r>
    </w:p>
    <w:p>
      <w:pPr>
        <w:spacing w:after="0" w:line="131" w:lineRule="exact"/>
        <w:rPr>
          <w:sz w:val="20"/>
          <w:szCs w:val="20"/>
          <w:color w:val="auto"/>
        </w:rPr>
      </w:pPr>
    </w:p>
    <w:p>
      <w:pPr>
        <w:ind w:left="1240" w:right="2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our products and services primarily depends on trends in the semiconductor and electronics industries and the demand for the products of our customers and our customers’ customers.</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our products and services depends on their acceptance by semiconductor and systems companies and their compatibility with, and the costs of, the design and manufacturing processes of our customers.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attract new customers and sell additional products to our existing customers, our business, results of operations, financial condition and prospects may be materially and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rely on third parties to market and sell products incorporating our products and to enhance the value of our licensed products.</w:t>
      </w:r>
    </w:p>
    <w:p>
      <w:pPr>
        <w:spacing w:after="0" w:line="153" w:lineRule="exact"/>
        <w:rPr>
          <w:rFonts w:ascii="Arial" w:cs="Arial" w:eastAsia="Arial" w:hAnsi="Arial"/>
          <w:sz w:val="16"/>
          <w:szCs w:val="16"/>
          <w:color w:val="auto"/>
        </w:rPr>
      </w:pPr>
    </w:p>
    <w:p>
      <w:pPr>
        <w:ind w:left="1240" w:right="72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results of operations, particularly our licensing and royalty revenues, can vary significantly between periods and may be unpredictable.</w:t>
      </w:r>
    </w:p>
    <w:p>
      <w:pPr>
        <w:spacing w:after="0" w:line="27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93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312" w:lineRule="exact"/>
        <w:rPr>
          <w:sz w:val="20"/>
          <w:szCs w:val="20"/>
          <w:color w:val="auto"/>
        </w:rPr>
      </w:pPr>
    </w:p>
    <w:p>
      <w:pPr>
        <w:ind w:left="1240" w:right="18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may decide to license our architecture and develop their own processors based on our architecture, rather than utilize our processor products pursuant to an implementation license.</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significant portion of our total revenue comes from a limited number of customers, which exposes us to greater risks than if our customer base were more diversified.</w:t>
      </w:r>
    </w:p>
    <w:p>
      <w:pPr>
        <w:spacing w:after="0" w:line="75" w:lineRule="exact"/>
        <w:rPr>
          <w:rFonts w:ascii="Arial" w:cs="Arial" w:eastAsia="Arial" w:hAnsi="Arial"/>
          <w:sz w:val="18"/>
          <w:szCs w:val="18"/>
          <w:color w:val="auto"/>
        </w:rPr>
      </w:pPr>
    </w:p>
    <w:p>
      <w:pPr>
        <w:ind w:left="1240" w:right="70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Consolidation in the semiconductor and electronics industries could have a material adverse effect on our business, results of operations, financial condition and prospects.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revenues predominantly come from a limited number of end markets.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develop new products in response to, or in anticipation of, rapid technological changes in our industry or the industries we serve, our business may be materially and adversely affected.</w:t>
      </w:r>
    </w:p>
    <w:p>
      <w:pPr>
        <w:spacing w:after="0" w:line="75" w:lineRule="exact"/>
        <w:rPr>
          <w:rFonts w:ascii="Arial" w:cs="Arial" w:eastAsia="Arial" w:hAnsi="Arial"/>
          <w:sz w:val="18"/>
          <w:szCs w:val="18"/>
          <w:color w:val="auto"/>
        </w:rPr>
      </w:pPr>
    </w:p>
    <w:p>
      <w:pPr>
        <w:ind w:left="1240" w:right="22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89"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new products requires us to expend significant resources without assurances that we will generate revenue in the amounts we anticipate, on the expected timeline or at all.</w:t>
      </w:r>
    </w:p>
    <w:p>
      <w:pPr>
        <w:spacing w:after="0" w:line="75" w:lineRule="exact"/>
        <w:rPr>
          <w:rFonts w:ascii="Arial" w:cs="Arial" w:eastAsia="Arial" w:hAnsi="Arial"/>
          <w:sz w:val="18"/>
          <w:szCs w:val="18"/>
          <w:color w:val="auto"/>
        </w:rPr>
      </w:pPr>
    </w:p>
    <w:p>
      <w:pPr>
        <w:ind w:left="1240" w:right="460" w:hanging="415"/>
        <w:spacing w:after="0" w:line="308"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depend on our commercial relationship with Arm China to access the PRC market. If that commercial relationship no longer existed or deteriorates, our ability to compete in the PRC market could be materially and adversely affected.</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we nor SoftBank control the operations of Arm China, which operates independently of us.</w:t>
      </w:r>
    </w:p>
    <w:p>
      <w:pPr>
        <w:spacing w:after="0" w:line="130"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and future operating results may be materially and adversely affected by global economic conditions and other events outside of our control.</w:t>
      </w:r>
    </w:p>
    <w:p>
      <w:pPr>
        <w:spacing w:after="0" w:line="75" w:lineRule="exact"/>
        <w:rPr>
          <w:rFonts w:ascii="Arial" w:cs="Arial" w:eastAsia="Arial" w:hAnsi="Arial"/>
          <w:sz w:val="18"/>
          <w:szCs w:val="18"/>
          <w:color w:val="auto"/>
        </w:rPr>
      </w:pPr>
    </w:p>
    <w:p>
      <w:pPr>
        <w:ind w:left="1240" w:right="580" w:hanging="415"/>
        <w:spacing w:after="0" w:line="28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70" w:lineRule="exact"/>
        <w:rPr>
          <w:rFonts w:ascii="Arial" w:cs="Arial" w:eastAsia="Arial" w:hAnsi="Arial"/>
          <w:sz w:val="17"/>
          <w:szCs w:val="17"/>
          <w:color w:val="auto"/>
        </w:rPr>
      </w:pPr>
    </w:p>
    <w:p>
      <w:pPr>
        <w:ind w:left="1240" w:right="14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products do not conform to, or are not compatible with, existing or emerging industry standards, demand for our products may decrease.</w:t>
      </w:r>
    </w:p>
    <w:p>
      <w:pPr>
        <w:spacing w:after="0" w:line="75" w:lineRule="exact"/>
        <w:rPr>
          <w:rFonts w:ascii="Arial" w:cs="Arial" w:eastAsia="Arial" w:hAnsi="Arial"/>
          <w:sz w:val="18"/>
          <w:szCs w:val="18"/>
          <w:color w:val="auto"/>
        </w:rPr>
      </w:pPr>
    </w:p>
    <w:p>
      <w:pPr>
        <w:jc w:val="both"/>
        <w:ind w:left="1240" w:right="2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89"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sued by third parties for alleged infringement, misappropriation or other violation of their IP rights or proprietary rights and our defense against these claims can be costly.</w:t>
      </w:r>
    </w:p>
    <w:p>
      <w:pPr>
        <w:spacing w:after="0" w:line="75" w:lineRule="exact"/>
        <w:rPr>
          <w:rFonts w:ascii="Arial" w:cs="Arial" w:eastAsia="Arial" w:hAnsi="Arial"/>
          <w:sz w:val="18"/>
          <w:szCs w:val="18"/>
          <w:color w:val="auto"/>
        </w:rPr>
      </w:pPr>
    </w:p>
    <w:p>
      <w:pPr>
        <w:ind w:left="1240" w:right="22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75" w:lineRule="exact"/>
        <w:rPr>
          <w:rFonts w:ascii="Arial" w:cs="Arial" w:eastAsia="Arial" w:hAnsi="Arial"/>
          <w:sz w:val="18"/>
          <w:szCs w:val="18"/>
          <w:color w:val="auto"/>
        </w:rPr>
      </w:pPr>
    </w:p>
    <w:p>
      <w:pPr>
        <w:ind w:left="1240" w:right="40" w:hanging="415"/>
        <w:spacing w:after="0" w:line="301"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26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38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Government Regulation and Legal Compliance</w:t>
      </w:r>
    </w:p>
    <w:p>
      <w:pPr>
        <w:spacing w:after="0" w:line="131" w:lineRule="exact"/>
        <w:rPr>
          <w:sz w:val="20"/>
          <w:szCs w:val="20"/>
          <w:color w:val="auto"/>
        </w:rPr>
      </w:pPr>
    </w:p>
    <w:p>
      <w:pPr>
        <w:ind w:left="1240" w:right="8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international operations expose us to risks in international jurisdictions and we may be negatively impacted by export restrictions and trade barriers.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Our Status as a Controlled Company and Foreign Private Issuer</w:t>
      </w:r>
    </w:p>
    <w:p>
      <w:pPr>
        <w:spacing w:after="0" w:line="131" w:lineRule="exact"/>
        <w:rPr>
          <w:sz w:val="20"/>
          <w:szCs w:val="20"/>
          <w:color w:val="auto"/>
        </w:rPr>
      </w:pPr>
    </w:p>
    <w:p>
      <w:pPr>
        <w:ind w:left="1240" w:hanging="415"/>
        <w:spacing w:after="0" w:line="263"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89"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long as SoftBank controls us, other holders of our ordinary shares and ADSs will have limited ability to influence matters requiring stockholder approval or the composition of our Board of Directors.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SoftBank’s interests may conflict with our own interests and those of holders of our ADSs.</w:t>
      </w:r>
    </w:p>
    <w:p>
      <w:pPr>
        <w:spacing w:after="0" w:line="130"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Our status as a foreign private issuer exempts us from compliance with certain laws and rules of the SEC and certain regulations of Nasdaq. Consequently, we are not subject to all the disclosure requirements applicable to U.S. public companies. For example, we are exempt from certain rules under the Exchange Act that regulate disclosure obligations and procedural requirements related to the solicitation of proxies, consents or authorizations applicable to a security registered under the Exchange Act. In addition, our executive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us than there is for U.S. public companies.</w:t>
      </w:r>
    </w:p>
    <w:p>
      <w:pPr>
        <w:spacing w:after="0" w:line="166"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Regulation FD (Fair Disclosure), which is aimed at preventing issuers from making selective disclosures of material information.</w:t>
      </w:r>
    </w:p>
    <w:p>
      <w:pPr>
        <w:spacing w:after="0" w:line="187"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We may take advantage of these exemptions until such time as we no longer qualify as a foreign private issuer. In order to maintain our current status as a foreign private issuer, either a majority of our outstanding voting securities must be directly or indirectly held of record by non-residents of the U.S., or, if a majority of our outstanding voting securities are directly or indirectly held of record by U.S. residents, a majority of our executive officers or directors may not be U.S. citizens or residents, more than 50% of our assets cannot be located in the U.S. and our business must be administered principally outside the U.S.</w:t>
      </w:r>
    </w:p>
    <w:p>
      <w:pPr>
        <w:spacing w:after="0" w:line="188" w:lineRule="exact"/>
        <w:rPr>
          <w:sz w:val="20"/>
          <w:szCs w:val="20"/>
          <w:color w:val="auto"/>
        </w:rPr>
      </w:pPr>
    </w:p>
    <w:p>
      <w:pPr>
        <w:ind w:left="300" w:right="540" w:firstLine="426"/>
        <w:spacing w:after="0" w:line="342" w:lineRule="auto"/>
        <w:rPr>
          <w:sz w:val="20"/>
          <w:szCs w:val="20"/>
          <w:color w:val="auto"/>
        </w:rPr>
      </w:pPr>
      <w:r>
        <w:rPr>
          <w:rFonts w:ascii="Arial" w:cs="Arial" w:eastAsia="Arial" w:hAnsi="Arial"/>
          <w:sz w:val="16"/>
          <w:szCs w:val="16"/>
          <w:color w:val="auto"/>
        </w:rPr>
        <w:t>We have taken advantage of certain of these reduced reporting and other requirements in this prospectus. Accordingly, the information contained herein may be different from the information you receive from other public companies in which you hold equity securities.</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“Risk Factors—Risks Relating to Our Status as a Controlled Company and Foreign Private Issuer.”</w:t>
      </w:r>
    </w:p>
    <w:p>
      <w:pPr>
        <w:spacing w:after="0" w:line="33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1401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1401445"/>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Controlled Company</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SoftBank is expected to beneficially own approximately % of our outstanding ordinary shares following the completion of this offering. As a result of SoftBank’s ownership,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applicable to most Nasdaq-listed companies. Accordingly, you will not have the same protections afforded to shareholders of companies that are subject to all of these corporate governance requirements.</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“Risk Factors—Risks Relating to Our Status as a Controlled Company and Foreign Private Issuer.”</w:t>
      </w:r>
    </w:p>
    <w:p>
      <w:pPr>
        <w:spacing w:after="0" w:line="33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40" w:type="dxa"/>
            <w:vAlign w:val="bottom"/>
            <w:tcBorders>
              <w:top w:val="single" w:sz="8" w:color="auto"/>
              <w:left w:val="single" w:sz="8" w:color="auto"/>
            </w:tcBorders>
          </w:tcPr>
          <w:p>
            <w:pPr>
              <w:spacing w:after="0"/>
              <w:rPr>
                <w:sz w:val="24"/>
                <w:szCs w:val="24"/>
                <w:color w:val="auto"/>
              </w:rPr>
            </w:pPr>
          </w:p>
        </w:tc>
        <w:tc>
          <w:tcPr>
            <w:tcW w:w="688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ADSs offered by the selling shareholder</w:t>
            </w:r>
          </w:p>
        </w:tc>
        <w:tc>
          <w:tcPr>
            <w:tcW w:w="68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with each ADS representing one ordinary share.</w:t>
            </w:r>
          </w:p>
        </w:tc>
      </w:tr>
      <w:tr>
        <w:trPr>
          <w:trHeight w:val="454"/>
        </w:trPr>
        <w:tc>
          <w:tcPr>
            <w:tcW w:w="4140" w:type="dxa"/>
            <w:vAlign w:val="bottom"/>
            <w:tcBorders>
              <w:left w:val="single" w:sz="8" w:color="auto"/>
            </w:tcBorders>
          </w:tcPr>
          <w:p>
            <w:pPr>
              <w:ind w:left="2600"/>
              <w:spacing w:after="0"/>
              <w:rPr>
                <w:sz w:val="20"/>
                <w:szCs w:val="20"/>
                <w:color w:val="auto"/>
              </w:rPr>
            </w:pPr>
            <w:r>
              <w:rPr>
                <w:rFonts w:ascii="Arial" w:cs="Arial" w:eastAsia="Arial" w:hAnsi="Arial"/>
                <w:sz w:val="18"/>
                <w:szCs w:val="18"/>
                <w:b w:val="1"/>
                <w:bCs w:val="1"/>
                <w:color w:val="auto"/>
                <w:w w:val="94"/>
              </w:rPr>
              <w:t>Ordinary shares to</w:t>
            </w:r>
          </w:p>
        </w:tc>
        <w:tc>
          <w:tcPr>
            <w:tcW w:w="68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ordinary shares.</w:t>
            </w:r>
          </w:p>
        </w:tc>
      </w:tr>
      <w:tr>
        <w:trPr>
          <w:trHeight w:val="234"/>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be outstanding upon completion of this offering</w:t>
            </w:r>
          </w:p>
        </w:tc>
        <w:tc>
          <w:tcPr>
            <w:tcW w:w="688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480"/>
              <w:spacing w:after="0"/>
              <w:rPr>
                <w:sz w:val="20"/>
                <w:szCs w:val="20"/>
                <w:color w:val="auto"/>
              </w:rPr>
            </w:pPr>
            <w:r>
              <w:rPr>
                <w:rFonts w:ascii="Arial" w:cs="Arial" w:eastAsia="Arial" w:hAnsi="Arial"/>
                <w:sz w:val="18"/>
                <w:szCs w:val="18"/>
                <w:b w:val="1"/>
                <w:bCs w:val="1"/>
                <w:color w:val="auto"/>
              </w:rPr>
              <w:t>American depositary shares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Each ADS represents one ordinary share, nominal value £0.001 per ordinary share, of Arm</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Holdings plc. As a holder of ADSs, you will not be treated as one of our shareholders and</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you will not have shareholder rights. Rather, you will have the rights of an ADS holder or</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beneficial owner of ADSs (as applicable) as provided in the deposit agreement among us,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the depositary and holders and beneficial owners of ADSs from time to time. To better</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understand the terms of our ADSs, see “Description of American Depositary Shares”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elsewhere in this prospectus. We also encourage you to read the deposit agreement, the</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form of which is filed as an exhibit to the registration statement of which this prospectus</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forms a part.</w:t>
            </w: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Depositary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Citibank, N.A.</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We will not receive any of the proceeds from the sale of ADSs by the selling shareholder in</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this offering. All net proceeds from the sale of ADSs in this offering will go to the selling</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shareholder.</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Controlled company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SoftBank will beneficially own approximately   % of our outstanding ordinary shares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following the completion of this offering. As a result of SoftBank’s ownership, after the</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completion of this offering, we will be a “controlled company” within the meaning of</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Nasdaq rules and, therefore, will qualify for exemptions from certain corporate governance</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requirements of Nasdaq. In the event that we elect to use the controlled company</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exemptions, holders of our ADSs will not have the same protections afforded to</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stockholders of companies that are subject to these corporate governance requirements.</w:t>
            </w:r>
          </w:p>
        </w:tc>
      </w:tr>
      <w:tr>
        <w:trPr>
          <w:trHeight w:val="445"/>
        </w:trPr>
        <w:tc>
          <w:tcPr>
            <w:tcW w:w="414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As long as SoftBank beneficially owns a majority of the voting power of our outstanding</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ordinary shares, SoftBank will generally be able to control the outcome of matters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submitted to our shareholders for approval, including the election of directors, without the</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approval of our other shareholders. See “Risk Factors—Risks Relating to Our Status as a</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Controlled Company and Foreign Private Issuer—As long as SoftBank controls us, other</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holders of our ordinary shares and ADSs will have limited ability to influence matters</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requiring stockholder approval or the composition of our Board of Directors.”</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policy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We currently do not intend to pay dividends on our ordinary shares or ADSs. See the</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section titled “Dividend Policy” for more information.</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Risk factors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See “Risk Factors” and the other information included in this prospectus for a discussion of</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factors you should carefully consider before deciding to invest in our ADSs.</w:t>
            </w: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Proposed Nasdaq symbol</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“ARM”</w:t>
            </w:r>
          </w:p>
        </w:tc>
      </w:tr>
      <w:tr>
        <w:trPr>
          <w:trHeight w:val="172"/>
        </w:trPr>
        <w:tc>
          <w:tcPr>
            <w:tcW w:w="4140" w:type="dxa"/>
            <w:vAlign w:val="bottom"/>
            <w:tcBorders>
              <w:left w:val="single" w:sz="8" w:color="auto"/>
              <w:bottom w:val="single" w:sz="8" w:color="auto"/>
            </w:tcBorders>
          </w:tcPr>
          <w:p>
            <w:pPr>
              <w:spacing w:after="0"/>
              <w:rPr>
                <w:sz w:val="14"/>
                <w:szCs w:val="14"/>
                <w:color w:val="auto"/>
              </w:rPr>
            </w:pPr>
          </w:p>
        </w:tc>
        <w:tc>
          <w:tcPr>
            <w:tcW w:w="6880" w:type="dxa"/>
            <w:vAlign w:val="bottom"/>
            <w:tcBorders>
              <w:bottom w:val="single" w:sz="8" w:color="auto"/>
              <w:right w:val="single" w:sz="8" w:color="auto"/>
            </w:tcBorders>
          </w:tcPr>
          <w:p>
            <w:pPr>
              <w:spacing w:after="0"/>
              <w:rPr>
                <w:sz w:val="14"/>
                <w:szCs w:val="14"/>
                <w:color w:val="auto"/>
              </w:rPr>
            </w:pPr>
          </w:p>
        </w:tc>
      </w:tr>
      <w:tr>
        <w:trPr>
          <w:trHeight w:val="361"/>
        </w:trPr>
        <w:tc>
          <w:tcPr>
            <w:tcW w:w="4140" w:type="dxa"/>
            <w:vAlign w:val="bottom"/>
          </w:tcPr>
          <w:p>
            <w:pPr>
              <w:spacing w:after="0"/>
              <w:rPr>
                <w:sz w:val="24"/>
                <w:szCs w:val="24"/>
                <w:color w:val="auto"/>
              </w:rPr>
            </w:pPr>
          </w:p>
        </w:tc>
        <w:tc>
          <w:tcPr>
            <w:tcW w:w="6880" w:type="dxa"/>
            <w:vAlign w:val="bottom"/>
          </w:tcPr>
          <w:p>
            <w:pPr>
              <w:ind w:left="13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3716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31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number of ordinary shares, including ordinary shares represented by ADSs, that will be outstanding upon completion of this offering is</w:t>
      </w:r>
    </w:p>
    <w:p>
      <w:pPr>
        <w:spacing w:after="0" w:line="46" w:lineRule="exact"/>
        <w:rPr>
          <w:sz w:val="20"/>
          <w:szCs w:val="20"/>
          <w:color w:val="auto"/>
        </w:rPr>
      </w:pPr>
    </w:p>
    <w:p>
      <w:pPr>
        <w:ind w:left="300" w:right="40"/>
        <w:spacing w:after="0" w:line="265" w:lineRule="auto"/>
        <w:rPr>
          <w:sz w:val="20"/>
          <w:szCs w:val="20"/>
          <w:color w:val="auto"/>
        </w:rPr>
      </w:pPr>
      <w:r>
        <w:rPr>
          <w:rFonts w:ascii="Arial" w:cs="Arial" w:eastAsia="Arial" w:hAnsi="Arial"/>
          <w:sz w:val="17"/>
          <w:szCs w:val="17"/>
          <w:color w:val="auto"/>
        </w:rPr>
        <w:t>based on ordinary shares outstanding as of , 2023, and (i) gives effect to our corporate reorganization described under the section titled “Corporate Reorganization” and (ii) includes ordinary shares issuable upon the completion of this offering, assuming an initial public offering price of $ per ADS, which is the midpoint of the price range set forth on the cover page of this prospectus, in connection with</w:t>
      </w:r>
    </w:p>
    <w:p>
      <w:pPr>
        <w:ind w:left="300"/>
        <w:spacing w:after="0" w:line="260" w:lineRule="auto"/>
        <w:rPr>
          <w:sz w:val="20"/>
          <w:szCs w:val="20"/>
          <w:color w:val="auto"/>
        </w:rPr>
      </w:pPr>
      <w:r>
        <w:rPr>
          <w:rFonts w:ascii="Arial" w:cs="Arial" w:eastAsia="Arial" w:hAnsi="Arial"/>
          <w:sz w:val="18"/>
          <w:szCs w:val="18"/>
          <w:color w:val="auto"/>
        </w:rPr>
        <w:t>the vesting of restricted share unit (“RSU”) awards and Executive Awards (as described under “Management and Executive Remuneration—Equity Incentive Plans—2022 RSU Plan”), and excludes:</w:t>
      </w:r>
    </w:p>
    <w:p>
      <w:pPr>
        <w:spacing w:after="0" w:line="91" w:lineRule="exact"/>
        <w:rPr>
          <w:sz w:val="20"/>
          <w:szCs w:val="20"/>
          <w:color w:val="auto"/>
        </w:rPr>
      </w:pPr>
    </w:p>
    <w:p>
      <w:pPr>
        <w:ind w:left="1240" w:right="100" w:hanging="415"/>
        <w:spacing w:after="0" w:line="263"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shares issuable upon the vesting of RSU awards issued under The Arm Limited All-Employee Plan 2019 (the “2019 AEP”), which will vest on the first trading day that is more than 180 days following the date on which our ADSs are admitted to trading on Nasdaq, subject to earlier vesting in certain circumstances;</w:t>
      </w:r>
    </w:p>
    <w:p>
      <w:pPr>
        <w:spacing w:after="0" w:line="89"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shares issuable upon the vesting of the RSU awards and the Executive Awards that were issued under The Arm Limited RSU Award Plan (the “2022 RSU Plan”), to the extent that they have not vested as of the date of this prospectus and will not vest upon the completion of this offering; and</w:t>
      </w:r>
    </w:p>
    <w:p>
      <w:pPr>
        <w:spacing w:after="0" w:line="89"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shares issuable upon the vesting of the RSU awards that were issued under The Arm Non-Executive Directors RSU Award Plan (the “NED Plan”), to the extent that they have not vested as of the date of this prospectus,</w:t>
      </w:r>
    </w:p>
    <w:p>
      <w:pPr>
        <w:spacing w:after="0" w:line="170" w:lineRule="exact"/>
        <w:rPr>
          <w:sz w:val="20"/>
          <w:szCs w:val="20"/>
          <w:color w:val="auto"/>
        </w:rPr>
      </w:pPr>
    </w:p>
    <w:p>
      <w:pPr>
        <w:ind w:left="720"/>
        <w:spacing w:after="0"/>
        <w:tabs>
          <w:tab w:leader="none" w:pos="4780" w:val="left"/>
        </w:tabs>
        <w:rPr>
          <w:sz w:val="20"/>
          <w:szCs w:val="20"/>
          <w:color w:val="auto"/>
        </w:rPr>
      </w:pPr>
      <w:r>
        <w:rPr>
          <w:rFonts w:ascii="Arial" w:cs="Arial" w:eastAsia="Arial" w:hAnsi="Arial"/>
          <w:sz w:val="18"/>
          <w:szCs w:val="18"/>
          <w:color w:val="auto"/>
        </w:rPr>
        <w:t>which collectively will increase by a number equal to</w:t>
      </w:r>
      <w:r>
        <w:rPr>
          <w:sz w:val="20"/>
          <w:szCs w:val="20"/>
          <w:color w:val="auto"/>
        </w:rPr>
        <w:tab/>
      </w:r>
      <w:r>
        <w:rPr>
          <w:rFonts w:ascii="Arial" w:cs="Arial" w:eastAsia="Arial" w:hAnsi="Arial"/>
          <w:sz w:val="16"/>
          <w:szCs w:val="16"/>
          <w:color w:val="auto"/>
        </w:rPr>
        <w:t>% of our total ordinary shares outstanding after the completion of this offering.</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noted, the information in this prospectus assumes:</w:t>
      </w:r>
    </w:p>
    <w:p>
      <w:pPr>
        <w:spacing w:after="0" w:line="131" w:lineRule="exact"/>
        <w:rPr>
          <w:sz w:val="20"/>
          <w:szCs w:val="20"/>
          <w:color w:val="auto"/>
        </w:rPr>
      </w:pPr>
    </w:p>
    <w:p>
      <w:pPr>
        <w:ind w:left="1240" w:hanging="415"/>
        <w:spacing w:after="0"/>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completion of the transactions described in the section titled “Corporate Reorganization” prior to the completion of this offering;</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adoption of the Articles prior to the completion of this offering; and</w:t>
      </w:r>
    </w:p>
    <w:p>
      <w:pPr>
        <w:spacing w:after="0" w:line="130"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initial public offering price of $ per ADS, which is the midpoint of the price range set forth on the cover page of this prospectus.</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6876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left="300" w:right="360" w:firstLine="426"/>
        <w:spacing w:after="0" w:line="263" w:lineRule="auto"/>
        <w:rPr>
          <w:sz w:val="20"/>
          <w:szCs w:val="20"/>
          <w:color w:val="auto"/>
        </w:rPr>
      </w:pPr>
      <w:r>
        <w:rPr>
          <w:rFonts w:ascii="Arial" w:cs="Arial" w:eastAsia="Arial" w:hAnsi="Arial"/>
          <w:sz w:val="18"/>
          <w:szCs w:val="18"/>
          <w:color w:val="auto"/>
        </w:rPr>
        <w:t>The following tables summarize our consolidated financial data. The consolidated financial statements for the fiscal years ended March 31, 2023, 2022 and 2021 have been derived from our audited financial statements included elsewhere in this prospectus. Our historical results are not necessarily indicative of the results that may be expected in the future.</w:t>
      </w:r>
    </w:p>
    <w:p>
      <w:pPr>
        <w:spacing w:after="0" w:line="184" w:lineRule="exact"/>
        <w:rPr>
          <w:sz w:val="20"/>
          <w:szCs w:val="20"/>
          <w:color w:val="auto"/>
        </w:rPr>
      </w:pPr>
    </w:p>
    <w:p>
      <w:pPr>
        <w:ind w:left="300" w:right="380" w:firstLine="426"/>
        <w:spacing w:after="0" w:line="308" w:lineRule="auto"/>
        <w:rPr>
          <w:sz w:val="20"/>
          <w:szCs w:val="20"/>
          <w:color w:val="auto"/>
        </w:rPr>
      </w:pPr>
      <w:r>
        <w:rPr>
          <w:rFonts w:ascii="Arial" w:cs="Arial" w:eastAsia="Arial" w:hAnsi="Arial"/>
          <w:sz w:val="17"/>
          <w:szCs w:val="17"/>
          <w:color w:val="auto"/>
        </w:rPr>
        <w:t>You should read the following summary financial data in conjunction with “Management’s Discussion and Analysis of Financial Condition and Results of Operations” and our consolidated financial statements and related notes included elsewhere in this prospectus.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gridSpan w:val="3"/>
            <w:vMerge w:val="restart"/>
          </w:tcPr>
          <w:p>
            <w:pPr>
              <w:ind w:left="1040"/>
              <w:spacing w:after="0"/>
              <w:rPr>
                <w:sz w:val="20"/>
                <w:szCs w:val="20"/>
                <w:color w:val="auto"/>
              </w:rPr>
            </w:pPr>
            <w:r>
              <w:rPr>
                <w:rFonts w:ascii="Arial" w:cs="Arial" w:eastAsia="Arial" w:hAnsi="Arial"/>
                <w:sz w:val="14"/>
                <w:szCs w:val="14"/>
                <w:color w:val="auto"/>
              </w:rPr>
              <w:t>(in millions, except share and per share</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Fiscal Years Ended March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5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520" w:type="dxa"/>
            <w:vAlign w:val="bottom"/>
            <w:gridSpan w:val="3"/>
          </w:tcPr>
          <w:p>
            <w:pPr>
              <w:ind w:left="1040"/>
              <w:spacing w:after="0"/>
              <w:rPr>
                <w:sz w:val="20"/>
                <w:szCs w:val="20"/>
                <w:color w:val="auto"/>
              </w:rPr>
            </w:pPr>
            <w:r>
              <w:rPr>
                <w:rFonts w:ascii="Arial" w:cs="Arial" w:eastAsia="Arial" w:hAnsi="Arial"/>
                <w:sz w:val="14"/>
                <w:szCs w:val="14"/>
                <w:color w:val="auto"/>
              </w:rPr>
              <w:t>amounts)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Borders>
              <w:bottom w:val="single" w:sz="8" w:color="CCEEFF"/>
            </w:tcBorders>
            <w:shd w:val="clear" w:color="auto" w:fill="000000"/>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40" w:type="dxa"/>
            <w:vAlign w:val="bottom"/>
          </w:tcPr>
          <w:p>
            <w:pPr>
              <w:spacing w:after="0"/>
              <w:rPr>
                <w:sz w:val="16"/>
                <w:szCs w:val="16"/>
                <w:color w:val="auto"/>
              </w:rPr>
            </w:pPr>
          </w:p>
        </w:tc>
        <w:tc>
          <w:tcPr>
            <w:tcW w:w="3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Income Statements Data:</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2,703</w:t>
            </w: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rPr>
              <w:t>Net income per share attributable to</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ordinary shareholders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 Diluted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ordinary shares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 Basic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1,025,234,000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1,025,234,000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1,025,234,000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1,027,505,008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520" w:type="dxa"/>
            <w:vAlign w:val="bottom"/>
            <w:gridSpan w:val="3"/>
          </w:tcPr>
          <w:p>
            <w:pPr>
              <w:ind w:left="1040"/>
              <w:spacing w:after="0"/>
              <w:rPr>
                <w:sz w:val="20"/>
                <w:szCs w:val="20"/>
                <w:color w:val="auto"/>
              </w:rPr>
            </w:pPr>
            <w:r>
              <w:rPr>
                <w:rFonts w:ascii="Arial" w:cs="Arial" w:eastAsia="Arial" w:hAnsi="Arial"/>
                <w:sz w:val="18"/>
                <w:szCs w:val="18"/>
                <w:color w:val="auto"/>
              </w:rPr>
              <w:t>Pro forma net loss per share attributable to</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ordinary shareholders (1)(2)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 Diluted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to compute</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net loss per share attributable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ordinary shareholders (1)(2)</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 Basic</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20" w:type="dxa"/>
            <w:vAlign w:val="bottom"/>
            <w:gridSpan w:val="3"/>
          </w:tcPr>
          <w:p>
            <w:pPr>
              <w:ind w:left="1040"/>
              <w:spacing w:after="0"/>
              <w:rPr>
                <w:sz w:val="20"/>
                <w:szCs w:val="20"/>
                <w:color w:val="auto"/>
              </w:rPr>
            </w:pPr>
            <w:r>
              <w:rPr>
                <w:rFonts w:ascii="Arial" w:cs="Arial" w:eastAsia="Arial" w:hAnsi="Arial"/>
                <w:sz w:val="18"/>
                <w:szCs w:val="18"/>
                <w:b w:val="1"/>
                <w:bCs w:val="1"/>
                <w:color w:val="auto"/>
              </w:rPr>
              <w:t>Consolidated Balance Sheets Data:</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short-term</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291"/>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38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9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0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Fiscal Years Ended</w:t>
            </w:r>
          </w:p>
        </w:tc>
        <w:tc>
          <w:tcPr>
            <w:tcW w:w="0" w:type="dxa"/>
            <w:vAlign w:val="bottom"/>
          </w:tcPr>
          <w:p>
            <w:pPr>
              <w:spacing w:after="0"/>
              <w:rPr>
                <w:sz w:val="1"/>
                <w:szCs w:val="1"/>
                <w:color w:val="auto"/>
              </w:rPr>
            </w:pPr>
          </w:p>
        </w:tc>
      </w:tr>
      <w:tr>
        <w:trPr>
          <w:trHeight w:val="178"/>
        </w:trPr>
        <w:tc>
          <w:tcPr>
            <w:tcW w:w="64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March 31, 2023</w:t>
            </w:r>
          </w:p>
        </w:tc>
        <w:tc>
          <w:tcPr>
            <w:tcW w:w="0" w:type="dxa"/>
            <w:vAlign w:val="bottom"/>
          </w:tcPr>
          <w:p>
            <w:pPr>
              <w:spacing w:after="0"/>
              <w:rPr>
                <w:sz w:val="1"/>
                <w:szCs w:val="1"/>
                <w:color w:val="auto"/>
              </w:rPr>
            </w:pPr>
          </w:p>
        </w:tc>
      </w:tr>
      <w:tr>
        <w:trPr>
          <w:trHeight w:val="135"/>
        </w:trPr>
        <w:tc>
          <w:tcPr>
            <w:tcW w:w="740" w:type="dxa"/>
            <w:vAlign w:val="bottom"/>
            <w:tcBorders>
              <w:top w:val="single" w:sz="8" w:color="auto"/>
              <w:bottom w:val="single" w:sz="8" w:color="CCEEFF"/>
            </w:tcBorders>
          </w:tcPr>
          <w:p>
            <w:pPr>
              <w:spacing w:after="0" w:line="135" w:lineRule="exact"/>
              <w:rPr>
                <w:sz w:val="20"/>
                <w:szCs w:val="20"/>
                <w:color w:val="auto"/>
              </w:rPr>
            </w:pPr>
            <w:r>
              <w:rPr>
                <w:rFonts w:ascii="Arial" w:cs="Arial" w:eastAsia="Arial" w:hAnsi="Arial"/>
                <w:sz w:val="14"/>
                <w:szCs w:val="14"/>
                <w:b w:val="1"/>
                <w:bCs w:val="1"/>
                <w:color w:val="auto"/>
                <w:w w:val="81"/>
              </w:rPr>
              <w:t>Consolidated</w:t>
            </w:r>
          </w:p>
        </w:tc>
        <w:tc>
          <w:tcPr>
            <w:tcW w:w="57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4"/>
                <w:szCs w:val="14"/>
                <w:b w:val="1"/>
                <w:bCs w:val="1"/>
                <w:color w:val="auto"/>
              </w:rPr>
              <w:t>Balance Sheets Data:</w:t>
            </w: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Actual</w:t>
            </w:r>
          </w:p>
        </w:tc>
        <w:tc>
          <w:tcPr>
            <w:tcW w:w="920" w:type="dxa"/>
            <w:vAlign w:val="bottom"/>
            <w:tcBorders>
              <w:top w:val="single" w:sz="8" w:color="auto"/>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94"/>
              </w:rPr>
              <w:t>Pro forma (1), (3)</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2,215</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6,866</w:t>
            </w: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2,815</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4,051</w:t>
            </w: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20" w:right="60" w:hanging="422"/>
        <w:spacing w:after="0" w:line="25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 forma information considers the anticipated corporate reorganization as described in the section titled “Corporate Reorganization,” which is expected to result in the issuance of ordinary shares of Arm Holdings Limited to shareholders in the same class and number as their previous shareholding in Arm Limited. Therefore, the corporate reorganization will not result in a material change in outstanding shares nor affect the pro forma earnings per share or balance sheet information.</w:t>
      </w:r>
    </w:p>
    <w:p>
      <w:pPr>
        <w:spacing w:after="0" w:line="2" w:lineRule="exact"/>
        <w:rPr>
          <w:rFonts w:ascii="Arial" w:cs="Arial" w:eastAsia="Arial" w:hAnsi="Arial"/>
          <w:sz w:val="18"/>
          <w:szCs w:val="18"/>
          <w:color w:val="auto"/>
        </w:rPr>
      </w:pPr>
    </w:p>
    <w:p>
      <w:pPr>
        <w:ind w:left="720" w:right="60" w:hanging="422"/>
        <w:spacing w:after="0" w:line="28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 forma earnings per share presented above reflects the effect of (a) executive awards of approximately $55 million that will partially vest upon the occurrence of an initial public offering (including this offering) and are expected to be settled in ordinary shares of Arm Holdings Limited, (b) the estimated fair value of the special cash award to our Chief Executive Officer that will vest upon completion of this</w:t>
      </w:r>
    </w:p>
    <w:p>
      <w:pPr>
        <w:spacing w:after="0" w:line="2" w:lineRule="exact"/>
        <w:rPr>
          <w:sz w:val="20"/>
          <w:szCs w:val="20"/>
          <w:color w:val="auto"/>
        </w:rPr>
      </w:pPr>
    </w:p>
    <w:p>
      <w:pPr>
        <w:ind w:left="720" w:right="60"/>
        <w:spacing w:after="0" w:line="281" w:lineRule="auto"/>
        <w:rPr>
          <w:sz w:val="20"/>
          <w:szCs w:val="20"/>
          <w:color w:val="auto"/>
        </w:rPr>
      </w:pPr>
      <w:r>
        <w:rPr>
          <w:rFonts w:ascii="Arial" w:cs="Arial" w:eastAsia="Arial" w:hAnsi="Arial"/>
          <w:sz w:val="16"/>
          <w:szCs w:val="16"/>
          <w:color w:val="auto"/>
        </w:rPr>
        <w:t>offering and (c) the accelerated vesting and settlement of liability classified awards granted to employees and executives of Arm Limited under the 2019 AEP, Executive IPO Plan 2019 (“2019 EIP”), and 2022 RSU Plan, which will be settled in ordinary shares of Arm Holdings Limited. Estimates of the fair value of the share-based compensation charges and the number of ordinary shares of Arm Limited to be issued</w:t>
      </w:r>
    </w:p>
    <w:p>
      <w:pPr>
        <w:spacing w:after="0" w:line="2" w:lineRule="exact"/>
        <w:rPr>
          <w:sz w:val="20"/>
          <w:szCs w:val="20"/>
          <w:color w:val="auto"/>
        </w:rPr>
      </w:pPr>
    </w:p>
    <w:p>
      <w:pPr>
        <w:ind w:left="720" w:right="80"/>
        <w:spacing w:after="0" w:line="260" w:lineRule="auto"/>
        <w:rPr>
          <w:sz w:val="20"/>
          <w:szCs w:val="20"/>
          <w:color w:val="auto"/>
        </w:rPr>
      </w:pPr>
      <w:r>
        <w:rPr>
          <w:rFonts w:ascii="Arial" w:cs="Arial" w:eastAsia="Arial" w:hAnsi="Arial"/>
          <w:sz w:val="18"/>
          <w:szCs w:val="18"/>
          <w:color w:val="auto"/>
        </w:rPr>
        <w:t>in connection with the settlement of these awards assume an initial public offering price of per share, which is the midpoint of the price range set forth on the cover of this prospectus.</w:t>
      </w:r>
    </w:p>
    <w:p>
      <w:pPr>
        <w:spacing w:after="0" w:line="185"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The following table sets forth the computation of the Company’s unaudited pro forma, as adjusted, basic and diluted net profit/(loss) per share (in millions, except per share data) for the year ended March 31, 2023:</w:t>
      </w:r>
    </w:p>
    <w:p>
      <w:pPr>
        <w:spacing w:after="0" w:line="189" w:lineRule="exact"/>
        <w:rPr>
          <w:sz w:val="20"/>
          <w:szCs w:val="20"/>
          <w:color w:val="auto"/>
        </w:rPr>
      </w:pPr>
    </w:p>
    <w:p>
      <w:pPr>
        <w:jc w:val="center"/>
        <w:ind w:left="9420"/>
        <w:spacing w:after="0"/>
        <w:rPr>
          <w:sz w:val="20"/>
          <w:szCs w:val="20"/>
          <w:color w:val="auto"/>
        </w:rPr>
      </w:pPr>
      <w:r>
        <w:rPr>
          <w:rFonts w:ascii="Arial" w:cs="Arial" w:eastAsia="Arial" w:hAnsi="Arial"/>
          <w:sz w:val="12"/>
          <w:szCs w:val="12"/>
          <w:b w:val="1"/>
          <w:bCs w:val="1"/>
          <w:color w:val="auto"/>
        </w:rPr>
        <w:t>Fiscal Year Ended</w:t>
      </w:r>
    </w:p>
    <w:p>
      <w:pPr>
        <w:spacing w:after="0" w:line="22" w:lineRule="exact"/>
        <w:rPr>
          <w:sz w:val="20"/>
          <w:szCs w:val="20"/>
          <w:color w:val="auto"/>
        </w:rPr>
      </w:pPr>
    </w:p>
    <w:p>
      <w:pPr>
        <w:jc w:val="center"/>
        <w:ind w:left="9420"/>
        <w:spacing w:after="0"/>
        <w:rPr>
          <w:sz w:val="20"/>
          <w:szCs w:val="20"/>
          <w:color w:val="auto"/>
        </w:rPr>
      </w:pPr>
      <w:r>
        <w:rPr>
          <w:rFonts w:ascii="Arial" w:cs="Arial" w:eastAsia="Arial" w:hAnsi="Arial"/>
          <w:sz w:val="14"/>
          <w:szCs w:val="14"/>
          <w:b w:val="1"/>
          <w:bCs w:val="1"/>
          <w:color w:val="auto"/>
        </w:rPr>
        <w:t>March 31, 2023</w:t>
      </w:r>
    </w:p>
    <w:p>
      <w:pPr>
        <w:ind w:left="300"/>
        <w:spacing w:after="0"/>
        <w:rPr>
          <w:sz w:val="20"/>
          <w:szCs w:val="20"/>
          <w:color w:val="auto"/>
        </w:rPr>
      </w:pPr>
      <w:r>
        <w:rPr>
          <w:rFonts w:ascii="Arial" w:cs="Arial" w:eastAsia="Arial" w:hAnsi="Arial"/>
          <w:sz w:val="18"/>
          <w:szCs w:val="18"/>
          <w:color w:val="auto"/>
        </w:rPr>
        <w:t>Net income attributable to ordinary shareholders</w:t>
      </w:r>
    </w:p>
    <w:p>
      <w:pPr>
        <w:spacing w:after="0" w:line="101" w:lineRule="exact"/>
        <w:rPr>
          <w:sz w:val="20"/>
          <w:szCs w:val="20"/>
          <w:color w:val="auto"/>
        </w:rPr>
      </w:pPr>
    </w:p>
    <w:p>
      <w:pPr>
        <w:ind w:left="480" w:right="2800" w:hanging="179"/>
        <w:spacing w:after="0" w:line="277" w:lineRule="auto"/>
        <w:rPr>
          <w:sz w:val="20"/>
          <w:szCs w:val="20"/>
          <w:color w:val="auto"/>
        </w:rPr>
      </w:pPr>
      <w:r>
        <w:rPr>
          <w:rFonts w:ascii="Arial" w:cs="Arial" w:eastAsia="Arial" w:hAnsi="Arial"/>
          <w:sz w:val="18"/>
          <w:szCs w:val="18"/>
          <w:color w:val="auto"/>
        </w:rPr>
        <w:t>Estimated accelerated expense related to vesting and settlement of executive awards under the 2019 EIP and 2022 RSU Plan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Estimated accelerated expense related to special cash award to our Chief Executive Officer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Estimated incremental expense related to accelerated vesting under the 2019 AEP, 2019 EIP, and 2022 RSU</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 forma net income / loss attributable to ordinary shares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Weighted average ordinary shares outstanding—basic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Weighted average ordinary shares outstanding—diluted</w:t>
      </w:r>
    </w:p>
    <w:p>
      <w:pPr>
        <w:spacing w:after="0" w:line="117" w:lineRule="exact"/>
        <w:rPr>
          <w:sz w:val="20"/>
          <w:szCs w:val="20"/>
          <w:color w:val="auto"/>
        </w:rPr>
      </w:pPr>
    </w:p>
    <w:p>
      <w:pPr>
        <w:ind w:left="480" w:right="2900" w:hanging="179"/>
        <w:spacing w:after="0" w:line="308" w:lineRule="auto"/>
        <w:rPr>
          <w:sz w:val="20"/>
          <w:szCs w:val="20"/>
          <w:color w:val="auto"/>
        </w:rPr>
      </w:pPr>
      <w:r>
        <w:rPr>
          <w:rFonts w:ascii="Arial" w:cs="Arial" w:eastAsia="Arial" w:hAnsi="Arial"/>
          <w:sz w:val="17"/>
          <w:szCs w:val="17"/>
          <w:color w:val="auto"/>
        </w:rPr>
        <w:t>Estimated ordinary shares to be issued in connection with settlement of executive awards and settlement of liability classified awards pursuant to the 2019 AEP, 2019 EIP, and 2022 RSU Plan</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 forma weighted average ordinary shares outstanding – basic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 forma weighted average ordinary shares outstanding – diluted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9" w:right="6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921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921385"/>
                    </a:xfrm>
                    <a:prstGeom prst="rect">
                      <a:avLst/>
                    </a:prstGeom>
                    <a:noFill/>
                  </pic:spPr>
                </pic:pic>
              </a:graphicData>
            </a:graphic>
          </wp:anchor>
        </w:drawing>
      </w:r>
    </w:p>
    <w:p>
      <w:pPr>
        <w:spacing w:after="0" w:line="312" w:lineRule="exact"/>
        <w:rPr>
          <w:sz w:val="20"/>
          <w:szCs w:val="20"/>
          <w:color w:val="auto"/>
        </w:rPr>
      </w:pPr>
    </w:p>
    <w:p>
      <w:pPr>
        <w:jc w:val="both"/>
        <w:ind w:left="720" w:hanging="422"/>
        <w:spacing w:after="0" w:line="29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 forma balance sheet presented above reflects the effect of the settlement of liability classified awards with the expected issuance of ordinary shares of Arm Holdings Limited in connection with the closing of the initial public offering. The pro forma adjustments reflect the</w:t>
      </w:r>
    </w:p>
    <w:p>
      <w:pPr>
        <w:ind w:left="720" w:right="400"/>
        <w:spacing w:after="0" w:line="255" w:lineRule="auto"/>
        <w:rPr>
          <w:sz w:val="20"/>
          <w:szCs w:val="20"/>
          <w:color w:val="auto"/>
        </w:rPr>
      </w:pPr>
      <w:r>
        <w:rPr>
          <w:rFonts w:ascii="Arial" w:cs="Arial" w:eastAsia="Arial" w:hAnsi="Arial"/>
          <w:sz w:val="18"/>
          <w:szCs w:val="18"/>
          <w:color w:val="auto"/>
        </w:rPr>
        <w:t>elimination of $ of liabilities as of March 31, 2023, the effect on ordinary shares and additional paid in capital of $ based on their estimated fair value at closing of the initial public offering offset by the estimated reduction of $ to retained earnings related to the incremental share-based compensation expenses described in Note (2) above.</w:t>
      </w:r>
    </w:p>
    <w:p>
      <w:pPr>
        <w:spacing w:after="0" w:line="2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320" w:top="459" w:right="8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Investing in our ADSs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ADSs. The occurrence of any of the events or developments described below could materially harm our business, financial condition, results of operations and prospects. In such an event, the market price of our ADSs could decline and you may lose all or part of your investment. Additional risks and uncertainties not presently known to us or that we currently deem immaterial also may materially impair our business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primarily depends on trends in the semiconductor and electronics industries and the demand for the products of our customers and our customers’ customers.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Demand for our products and services is largely dependent on the semiconductor and electronics industries, which are volatile, intensely competitive and generally characterized by declining ASPs over the life of a generation of chips. The effect of these price decreases is compounded by the fact that our royalty rates generally decrease as the volume of sales increases, subject to an agreed minimum royalty per chip. Additionally, demand for our products and services could decrease if growth in the semiconductor or electronics industries slows or declines.</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revenue we generate from licensing activities is also largely dependent on the rate at which systems companies develop and adopt new product generations, which, in turn, is affected by the level of demand for their ICs and other products. Decreasing demand from systems companies for chips based on our products would directly and adversely affect the amount of royalties we receive. As a result of our dependence on demand from systems companies, we are subject to several risks affecting these systems companies, any one of which may influence the success or failure of a particular systems company. These risks include, among others:</w:t>
      </w:r>
    </w:p>
    <w:p>
      <w:pPr>
        <w:spacing w:after="0" w:line="93"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faced by the systems company in its particular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engineering and marketing capabilities of the systems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the systems company’s products;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developments in the economic and political conditions of the region(s) in which the systems company operates, particularly to the extent that such developments create an unfavorable business environment;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constraints and inventory correction affecting the systems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technical challenges unrelated to our products faced by the systems company in developing its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and other resources of the systems company.</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These risks and others which are outside of our control could adversely affect any number of systems companies upon which our success depends, which could, in turn, have a material adverse effect on our business, results of operations, financial condition and prospects.</w:t>
      </w:r>
    </w:p>
    <w:p>
      <w:pPr>
        <w:spacing w:after="0" w:line="25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success depends substantially on the acceptance of our products and services by semiconductor and systems companies, particularly those that develop and market chips for high-volume electronic devices in the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automotive, embedded and IoT, enterprise electronics, and mobile and consumer electronics markets. There are competing microprocessor architectures in the market and there is no certainty that the market will continue to accept our products to the same or greater extent than it does today.</w:t>
      </w:r>
    </w:p>
    <w:p>
      <w:pPr>
        <w:spacing w:after="0" w:line="124" w:lineRule="exact"/>
        <w:rPr>
          <w:sz w:val="20"/>
          <w:szCs w:val="20"/>
          <w:color w:val="auto"/>
        </w:rPr>
      </w:pPr>
    </w:p>
    <w:p>
      <w:pPr>
        <w:jc w:val="both"/>
        <w:ind w:left="120" w:right="760" w:firstLine="440"/>
        <w:spacing w:after="0" w:line="263" w:lineRule="auto"/>
        <w:rPr>
          <w:sz w:val="20"/>
          <w:szCs w:val="20"/>
          <w:color w:val="auto"/>
        </w:rPr>
      </w:pPr>
      <w:r>
        <w:rPr>
          <w:rFonts w:ascii="Arial" w:cs="Arial" w:eastAsia="Arial" w:hAnsi="Arial"/>
          <w:sz w:val="18"/>
          <w:szCs w:val="18"/>
          <w:color w:val="auto"/>
        </w:rPr>
        <w:t>Demand from large, global systems companies, including OEMs, drive much of the development of silicon chips and computer systems. Accordingly, acceptance of our products by these companies as well as semiconductor and other companies for use in a variety of end-market applications is critical for our continued success.</w:t>
      </w:r>
    </w:p>
    <w:p>
      <w:pPr>
        <w:spacing w:after="0" w:line="184"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The semiconductor and electronics industries have also become increasingly complex and subject to increasing design and manufacturing costs. Many of our customers utilize third-party vendors for EDA tools and also outsource the manufacture of their semiconductor designs to foundries. We work closely with major EDA vendors and foundries to ensure that our products are compatible with their design tools and manufacturing processes. However, if we fail to optimize our products for use with major EDA vendors’ tools and foundries’ manufacturing processes, or if our access to such tools and processes is hampered, then our products may become less desirable to our customers. Similarly, for customers that do not outsource design and manufacturing processes, if our products are unsuitable for the customers’ internal processes, then our products may not be acceptable to those customers.</w:t>
      </w:r>
    </w:p>
    <w:p>
      <w:pPr>
        <w:spacing w:after="0" w:line="195"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Additionally, there are risks inherent in the manufacturing of next-generation process technologies, including production timing delays, lower-than-anticipated manufacturing yields, and product defects and errata. If foundries are unable to successfully or efficiently manufacture future generations of chips based on our products, demand for our products could be materially adversely affected along with our business, results of operations, financial condition and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market for our products is intensely competitive and characterized by rapid changes in design and manufacturing technologies, end-user requirements, industry standards, and frequent new product introductions and improvements. We anticipate continued challenges from current and new competitors, including established technologies such as the x86 architecture, as well as by free, open-source technologies, including the RISC-V architecture. Many of our customers are also major supporters of the RISC-V architecture and related technologies. If RISC-V-related technology continues to be developed and market support for RISC-V increases, our customers may choose to utilize this free, open-source architecture instead of our products. Additionally, many of our direct and indirect competitors, including some of our semiconductor customers, are major corporations with substantially greater technical, financial and marketing resources and name recognition than we have. Some of these competitors have a much larger application software base and a much larger installed customer base than we do, and there can be no assurance that we will have the financial resources, technical expertise, and marketing, distribution and support capabilities to compete successfully with them in the future.</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markets where we are established already and new markets we have entered or intend to enter, our primary competitors may have greater financial, technical, marketing, distribution, support or other resources and capabilities, greater brand recognition, lower labor and development costs, different regulatory restrictions or a larger customer base than we do. In these markets, we may have to invest substantial resources into developing an ecosystem of software and tools to create a competitive ecosystem that allows us to compete with alternative architectures such as x86 and RISC-V, which have business models that are different from ours and may be more attractive to some of our customers. Our competitors may devote greater resources to the development, promotion and sale of products and services, they may offer lower pricing and different customer engagement models, and their performance, features and product quality may be more desirable than those of our company. Our current and potential competitors may also establish cooperative relationships among themselves or with third parties that may further enhance their resources or strengthen their positions within these markets, or may be subject to more favorable regulatory regimes. Although the development of alternative architectures and</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technology is a time-intensive process, if our competitors establish cooperative relationships or consolidate with each other or third parties, they may have additional resources that would allow them to more quickly develop architectures and other technology that directly compete with our products. Such cooperative relationships or consolidations may also allow competitors to anticipate or respond more quickly and effectively than we can to new or changing opportunities, technologies, standards or customer requirements. If we are unable to anticipate or react to these competitive challenges, our competitive position could weaken and we could experience a decline in revenue and profitability.</w:t>
      </w:r>
    </w:p>
    <w:p>
      <w:pPr>
        <w:spacing w:after="0" w:line="1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Some semiconductor companies have developed their own proprietary architecture for specific markets or applications. These companies may utilize their proprietary architecture to penetrate markets where we are currently the architecture of choice, or where our products may be utilized, making it more difficult for us to penetrate such markets in the future. Some semiconductor companies have proprietary architectures in applications, including, but not limited to, automotive, data center equipment, networking equipment, electronic storage, microcontrollers, smart sensors, servers and wireless communications. These companies may be significantly entrenched in their markets. If these companies are successful in displacing our products, or if we are unable to penetrate or grow our market share in these areas, licensing opportunities and potential royalties could be harmed, negatively affecting our business, results of operations, financial condition and prospects. Our development systems tools business also faces significant competition from both the open-source community and third-party tools and software suppliers.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While our customers likely would incur significant costs in switching to competitors’ architecture, our competitors (including new market entrants) may offer greater incentives to customers through rebates, marketing funds, similar programs and other commercial arrangements to induce them to use their architecture in lieu of our products. Additionally, our competitors with multiple products or services may bundle their architecture, products and services to offer a broader product portfolio (which may include products or services we do not offer), which may make it difficult for us to gain or maintain market share.</w:t>
      </w:r>
    </w:p>
    <w:p>
      <w:pPr>
        <w:spacing w:after="0" w:line="18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Physical IP business also faces significant competition from third parties, including the internal design groups of IC manufacturers that have expanded their internal design capabilities and portfolio of Physical IP components. Physical IP components developed internally by our customers may be designed specifically to utilize the unique qualities of their own manufacturing processes, and may benefit from capacity, informational, cost and technical advantages relative to our Physical IP components, and we may be unable to compete effectively with such internal design groups.</w:t>
      </w:r>
    </w:p>
    <w:p>
      <w:pPr>
        <w:spacing w:after="0" w:line="2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and sell additional products to our existing customers, our business, results of operations, financial condition and prospects may be materially and adversely affected.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Adding new customers while maintaining our existing customers, selling additional products to our existing customers and increasing the price we charge to existing customers represent our principal opportunities to increase revenue (particularly licensing revenue). We generate a significant portion of our revenues from customers who incorporate our products into chips used in smartphones, consumer electronics and other embedded chips. If growth in these markets declines (including in the smartphone market, in which growth has declined in recent years), our business, financial condition, results of operations and cash flows could be negatively affected, and we would become more dependent on new growth areas to increase revenue and improve our financial condition. We are currently focused on growing our business in key areas such as infrastructure, automotive, IoT, AI and 5G. Numerous factors, however, may impede our ability to grow our business in these key areas, add new customers and sell additional products to our existing customers. Those factors include, among others:</w:t>
      </w:r>
    </w:p>
    <w:p>
      <w:pPr>
        <w:spacing w:after="0" w:line="84"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develop new products that are attractive to current and prospective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slow adoption of our new products in key areas such as infrastructure, automotive, IoT, AI and 5G;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develop or expand relationships with channel partners;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develop new distribution channels appropriate for such new technology areas;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provide quality technical support once deployed;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retain new customers and failure to ensure the effectiveness of our marketing programs.</w:t>
      </w:r>
    </w:p>
    <w:p>
      <w:pPr>
        <w:spacing w:after="0" w:line="225"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In addition, if prospective customers do not perceive our products to be of sufficiently high value and quality or they do not believe the costs of our products relative to competing technology can be passed along to their customers, we may not be able to effectively attract new customers, which would materially and adversely affect our business,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 parties to market and sell chips incorporating our products and to enhance the value of our licensed products.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rely on our customers to design, manufacture and sell chips incorporating our products in order to generate royalty revenue. A substantial portion of our revenue depends upon the commencement of new design projects by semiconductor companies and their ability to provide complete chips based on our products to meet the specific application needs of their customers. However, our customers are not contractually obligated to design, manufacture or sell chips using our products on an exclusive basis or at all. Some of our existing customers design, manufacture and sell chips based on competing technology, including their own, and other existing or potential customers may do so in the future. To the extent that our customers elect to license technology from competitors, our competitive position could be adversely affected and we could lose market share. Furthermore, under many of our arrangements with customers, there is generally no minimum purchase obligation or guaranteed revenue stream.</w:t>
      </w:r>
    </w:p>
    <w:p>
      <w:pPr>
        <w:spacing w:after="0" w:line="16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We are also subject to risks related to the competition faced by our customers in their particular industries, the engineering and marketing capabilities of our customers, the technical challenges unrelated to our products faced by our customers in developing their chips, and the financial and other resources of our customers. We cannot assure you that our customers and other partners will dedicate the resources necessary to promote and further develop chips incorporating our products, that they will manufacture chips containing our products in quantities sufficient to meet demand, that we will be successful in developing, expanding or maintaining our relationships with current or prospective customers or other partners, or that such customers will effectively and successfully promote and sell chips using our products. In addition, if their chips that incorporate our products are faulty, we may suffer reputational harm whether or not any fault results from our products. See “—Errors, defects, bugs or security vulnerabilities in or associated with our products could expose us to liability and damage our brand and reputation, which could harm our competitive position and result in a loss of market share.”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results of operations, particularly our licensing and royalty revenues, can vary significantly between periods and may be unpredictable.</w:t>
      </w:r>
    </w:p>
    <w:p>
      <w:pPr>
        <w:spacing w:after="0" w:line="14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experienced, and may in the future experience, significant fluctuations in our period-to-period results of operations. Our results may fluctuate and be unpredictable because of a variety of factors, including, among others:</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entry into high-value agreements of which we historically have signed only a limited number each quarter;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mixture of license fees, royalties, and fees for software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correctly accrue royalty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terms and delivery and revenue recognition schedules of our agreements with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license renewals and license extensions;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demand for chips and end products that incorporate our products or expected future demand for such chips and end products;</w:t>
      </w:r>
    </w:p>
    <w:p>
      <w:pPr>
        <w:spacing w:after="0" w:line="169"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effects on demand for end products that incorporate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and sales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of new technology by us, our customers or our competitors, or other actions taken by our competitors;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orders from, and shipments to, technology companies of chips based on our products from our semiconductor partners and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results of Arm China and its ability to make payments to us in a timely manner, or at all;</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litigation or developments in current litigation, including, but not limited to, a lawsuit with Qualcomm and Nuvia (each as defined below), as described under “—We are currently involved in pending litigation”;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new employees joining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bonuses and other remuneration to employees, including for retention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strategic investments, acquisitions or divestitures that we might undertake, and the timing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chain constraints and inventory correction in or affecting the semiconductor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cyclical fluctuations in the semiconductor market and the markets of our customers’ end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sudden technological or other changes in the semiconductor industry, including consolidation among our customers;</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global economy (such as inflation, rising interest rates or a recession), disruptions in the global supply chain (including shortages of critical semiconductor components and chips) or regulatory changes that impact the semiconductor industry;</w:t>
      </w:r>
    </w:p>
    <w:p>
      <w:pPr>
        <w:spacing w:after="0" w:line="29" w:lineRule="exact"/>
        <w:rPr>
          <w:rFonts w:ascii="Arial" w:cs="Arial" w:eastAsia="Arial" w:hAnsi="Arial"/>
          <w:sz w:val="16"/>
          <w:szCs w:val="16"/>
          <w:color w:val="auto"/>
        </w:rPr>
      </w:pPr>
    </w:p>
    <w:p>
      <w:pPr>
        <w:ind w:left="1080" w:right="50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political, regulatory, legal or economic conditions or geopolitical turmoil (including PRC-Taiwan relations), including terrorism, war (including the war in Ukraine) or political or military coups, state-sponsored or politically motivated cyberattacks, or foreign and domestic civil disturbances or political instability;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accounting policies and accounting standards applicable to us, and changes to key accounting estimates and judgments applied by us.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Accurate prediction of the timing of inception of new licenses and renewals of existing licenses is difficult because the development of a business relationship with a potential customer may frequently span a year or more. The fiscal quarter in which a new or renewed license agreement will be entered into, if at all, is difficult to predict, as are the financial terms of any such agreement.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license and royalty revenues are also affected by market conditions in the industries in which our customers operate, particularly in the semiconductor industry, which is cyclical by nature and impacted by broad economic factors, such as worldwide gross domestic product and consumer spending. The semiconductor industry has experienced significant and sometimes sudden and prolonged downturns in the past, including in recent years as a result of supply chain constraints.</w:t>
      </w:r>
    </w:p>
    <w:p>
      <w:pPr>
        <w:spacing w:after="0" w:line="18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As a result of these factors and others, many of which are outside of our control, it may be difficult for us to provide accurate forecasts of our revenues and results of operations for future periods, and such factors and others could have a material adverse effect on our business, competitive position, results of operations, financial condition and prospects.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Customers may decide to license our architecture and develop their own processors based on our architecture, rather than utilize our processor products pursuant to an implementation license.</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customers may decide to license our ISA and develop their own processors based on our ISA, rather than utilize our predeveloped products through an implementation license, resulting in less fees paid to us. Customers may choose to develop their own processors if they believe they can do so more effectively than us or if supply and capacity constraints within the semiconductor industry further incentivize vertical integration in an effort to secure additional control over their supply chains. Some of these customers may have greater name recognition and substantially greater financial, management, marketing, service, support, technical, distribution and other resources than we do. If our customers, and particularly one or more key customers from whom we generate a significant portion of our total revenues, elect to develop their own processors based on our ISA, the market for our developed processor portfolio would decline, which could have a material adverse effect on our business, results of operations, financial condition and prospects.</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revenue comes from a limited number of customers, which exposes us to greater risks than if our customer base were more diversified.</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 significant portion of our total revenue is generated from a limited number of key customers. In particular, our top five customers (including Arm China) collectively accounted for approximately 57% and 56% of our total revenue for the fiscal years ended March 31, 2023 and 2022, respectively, and our largest customer individually, Arm China, accounted for approximately 24% and 18% of our total revenue, respectively, during those fiscal years. As a result of this customer concentration, we are particularly susceptible to adverse developments affecting our key customers and their respective businesses, including industry downturns, decreased demand for their products, increased competition, changes in trade protection and other government policies, financial hardship and changes in their business model, purchasing behavior and strategic priorities, among other factors, many of which are beyond our control. In particular, developments in our key customers’ respective businesses that adversely affect their ability to satisfy their payment obligations to us or result in their determination not to continue or expand their use of our products would have a material adverse impact on our revenue and results of operations to a greater extent than if our customer base were more diversified. Our customer concentration also has afforded certain customers significant bargaining power, which has, in some cases, resulted in pricing or other contractual terms that are less favorable to us. For example, subject to certain limitations, certain of our contracts with key customers contain provisions allowing such customers to obtain licenses to our latest products as soon as they are made available to any other customer. If we were to lose one or more of our key customers or if our business with one or more key customers were to decrease significantly, whether as a result of external impacts on the business of those customers, or, for example, as a result of disputes with such customers with respect to pricing models, there are no assurances that we would be successful in identifying and contracting with one or more customers to replace any lost revenue, which would materially and adversely affect our business, results of operations, financial condition and prospects.</w:t>
      </w:r>
    </w:p>
    <w:p>
      <w:pPr>
        <w:spacing w:after="0" w:line="2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Consolidation in the semiconductor and electronics industries could have a material adverse effect on our business, results of operations, financial condition and prospects.</w:t>
      </w:r>
    </w:p>
    <w:p>
      <w:pPr>
        <w:spacing w:after="0" w:line="6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 number of business combinations, including mergers, asset acquisitions and strategic partnerships, have been consummated among our customers in the semiconductor and electronics industries, and more could occur in the future. Consolidation among our customers could lead to a loss of customers, increased customer bargaining power, or reduced customer spending on our products, each of which could have a material adverse effect on our business, results of operations, financial condition and prospects. For example, in the past some of our larger customers who have negotiated lower pricing models have acquired customers with higher pricing models. In some cases, we have been, and in the future may be, required to renegotiate the pricing model with the acquired company or to honor the lower pricing model applicable for the acquiring customer while providing the same products prior to the acquisition by the larger company.</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revenues predominantly come from a limited number of end markets.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Royalties from smartphones and consumer electronics comprised greater than 50% of our royalty revenue for the fiscal year ended March 31, 2023. In these end markets, our substantial existing market share may limit opportunities for future growth. Additionally, demand in these markets may be adversely impacted if consumers reduce their purchases of smartphones and consumer electronics as a result of changes in consumer behavior. If these end markets do not expand, we may be unable to continue to grow our revenues significantly from these markets, if at all. Additionally, circumstances outside of our control, such as the invention of new technologies, could adversely affect the smartphone and consumer electronics markets as a whole, which would have a material adverse impact on our revenue, profitability, and ability to attract new customers.</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products are extensible and have been licensed and used in various other target end markets. While these new target markets represent a meaningful opportunity for us, they may not grow or develop as quickly as we expect them to. Furthermore, it could take years to reach a market share similar to our position in smartphones and consumer electronics.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Other microprocessor architectures such as x86 and RISC-V may already exist across all of these markets, or may be developed for applications within these markets. For applications in markets such as computing, data centers, networking and servers, competing microprocessor architectures, such as x86, already have a large, well-established customer base and are supported by a broad base of related software and development tools. These markets represent a significant portion of our revenue growth opportunity, and they also introduce new sources of competition, including, in some cases, incumbent competitors with established technologies, ecosystems, and customer bases, lower prices or costs, and greater brand recognition. These new markets may not grow as projected or at all, and we may not realize an adequate return on our investments. Due to the interdependence of various components in the products in which our architecture and our competitors’ architectures are used, customers are unlikely to change to another product, once adopted, until the next generation of a technology. As a result, even if our products are superior to alternative offerings, it may be difficult for our products to displace alternative technologies as a result of high switching costs to change to our products, including the need for potential customers to make significant investments in additional training and development tools and to convert software for existing devices. Additionally, to the extent our competitors have done business with prospective customers for a long period of time and have established relationships, our competitors may have information regarding future trends and requirements of such prospective customers that may not be available to us. If any of these markets do not develop as we currently anticipate or we fail to establish ourselves in these new markets, we could suffer a material adverse effect on our competitive position and business prospects.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Fragmentation of the global semiconductor market could have a material adverse effect on our business, results of operations, financial condition and prospects.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sell our products across the semiconductor industry globally and rely on various markets across the world to generate revenue. The global market for our products, both where we are already established and new markets we intend to enter, may be impacted by geopolitical factors. A shift towards geopolitical rivalry could lead to the fragmentation of the global semiconductor market, as certain countries want more end-to-end control over architecture, leading to increased architectural fragmentation and a reduced role for a global architecture. Countries may take political decisions to enforce the use of an alternative architecture, or locally generated implementations for certain use cases, to make their country more resilient in the case of trade barriers or for national security reasons. For us, this could lead to increased costs to support region specific products, reduced revenue as a result of lost investment in territories that no longer use our products and potential market loss and loss of future licensing opportunities, all of which could have a material adverse effect on our business, results of operations, financial condition and prospects.</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we fail to develop new products in response to, or in anticipation of, rapid technological changes in our industry or the industries we serve, our business may be materially and adversely affected.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market for our products is characterized by rapidly changing technology and end-user needs. For example, improvements are rapidly being made in AI, cloud computing, data centers, image sensors, ML and the metaverse, among other technologies. Furthermore, the once-rapid improvements in semiconductor transistor density, with consequent reductions in cost and power consumption, are decelerating, and further innovation will become incrementally more difficult and expensive to achieve. As a result of these rapid technological changes and others currently unknown, the future market for our products is difficult to predict. These risks are further exacerbated by the fact that our products often use a common architecture for multiple end markets and our new architecture products often are based on legacy products. Therefore, if our architecture were rendered uncompetitive, obsolete, or otherwise unmarketable it may impact multiple products and may cause us to expend significant resources and incur significant expenses to develop a new architecture.</w:t>
      </w:r>
    </w:p>
    <w:p>
      <w:pPr>
        <w:spacing w:after="0" w:line="178"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Our business, reputation and relationships with our third-party partners could be adversely affected if we cannot develop technological improvements or adapt our products to technological changes on a timely basis. Whether we will be able to compete in the future will substantially depend on our ability to advance our products to meet these changing market and end-user needs and to anticipate successfully or respond to technological changes in hardware, software and architecture standards on a cost-effective and timely basis.</w:t>
      </w:r>
    </w:p>
    <w:p>
      <w:pPr>
        <w:spacing w:after="0" w:line="2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Developing new products requires us to expend significant resources without assurances that we will generate revenue in the amounts we anticipate, on the expected timeline or at all.</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will have to make significant expenditures to continue developing our semiconductor products and other products. The long development time of generally five or more years from the initial design of our semiconductor products until its incorporation into new end-user applications can place significant strain on our financial resources and personnel. Despite these investments, there can be no assurances that we will realize the financial benefits of our development efforts in the amounts we anticipate, on the expected timeline or at all. For instance, in the past we have experienced delays in the development of certain of our products, which then delayed product deployment and the associated revenues.</w:t>
      </w:r>
    </w:p>
    <w:p>
      <w:pPr>
        <w:spacing w:after="0" w:line="16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may be unable to predict the timing or development of trends in our target markets with any accuracy. If we fail to accurately predict market requirements or market demand for our products in our target markets, our business will suffer. A market shift towards an industry standard that we do not currently support and for which we are not currently developing new products could significantly decrease the demand for our products. Despite these uncertainties, we devote substantial financial and other resources, including design, engineering, sales, marketing, and management efforts, to developing and marketing our products in anticipation of incorporation into new end-user applications. Additionally, our competitors may have a competitive advantage if their assessments relating to market adoption of new technologies prove to be more accurate than our assessments. Our failure to anticipate or timely develop new or enhanced products in response to changing market demand could result in the loss of customers and decreased revenue and have a material and adverse effect on our business, cash flows, results of operations and prospects.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we develop and introduce new products, we face the risk that customers may not value or be willing to bear the cost of incorporating these newer products into their chips, including increases in royalty rates for such new products (as compared to existing products), particularly if they believe their customers are satisfied with the current products or unwilling to pay for improved products. Regardless of the improved features or superior performance of the newer products we develop, customers may be unwilling to adopt our new products for a variety of reasons, including design or pricing constraints. Moreover, the complexity and expense associated with our products generally requires a lengthy customer education, evaluation and approval process. Further, economic conditions, including economic downturns and rising rates of inflation, may adversely impact our ability to license products by making it difficult for our customers to plan future business activities, which could cause customers to limit spending or delay decision-making.</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may not be successful in developing and licensing new products and may experience difficulties or delays that would prevent the successful development, introduction and marketing of new products, and any new products that we may introduce may not achieve market acceptance and generate royalties and profits in the amounts we anticipate, on the expected timeline or at all, which could materially and adversely affect our business, cash flows, results of operations and prospects. These risks are further exacerbated by our focus on developing and marketing high-value products, which naturally require more resources to develop.</w:t>
      </w:r>
    </w:p>
    <w:p>
      <w:pPr>
        <w:spacing w:after="0" w:line="29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7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For the fiscal years ended March 31, 2023, 2022 and 2021, revenues from the PRC accounted for approximately 25%, 18% and 20% of our total revenue, respectively, including both direct revenues and revenues derived from our relationship with Arm China. Our revenues in the PRC are derived from PRC semiconductor companies and OEMs, and from non-PRC semiconductor companies and OEMs that utilize our products in chips and end products they sell into the PRC, which, by country, has the largest number of smartphone users in the world. Our failure to maintain PRC-sourced revenues, access new and existing markets in the PRC or gain traction for new business areas in the PRC, or our loss of market share to competition in the PRC, could materially and adversely affect our results of operations and competitive position.</w:t>
      </w:r>
    </w:p>
    <w:p>
      <w:pPr>
        <w:spacing w:after="0" w:line="178"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 the past decade, the PRC has been a significant source of semiconductor industry revenues and growth. However, the near-term growth prospects of the PRC semiconductor industry and related industries are unclear due to the uncertain effects of ongoing economic stress caused by policies to contain the COVID-19 pandemic, trade and national security policies, and the elevated levels of private and public indebtedness. For the fiscal year ended March 31, 2023, although our total revenues derived from the PRC increased as compared to the prior fiscal year, the growth in our royalty revenues derived from the PRC slowed for the same period primarily as a result of economic issues in the PRC and factors related to export control and national security matters. Furthermore, in light of these issues, we expect to continue to see declining royalty revenues, and we could see a decline in licensing revenues, derived from the PRC. A prolonged downturn in the PRC semiconductor industry or the PRC economy generally could materially and adversely affect our results of operations and competitive position.</w:t>
      </w:r>
    </w:p>
    <w:p>
      <w:pPr>
        <w:spacing w:after="0" w:line="17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Political actions, including trade and national security policies of the U.S. and PRC governments, such as tariffs, placing companies on restricted lists, export controls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Given our revenue concentration in the PRC, if, due to actual, threatened or potential U.S., U.K. or PRC government actions or policies: Arm China is further limited in, or prohibited from, licensing our products to PRC semiconductor companies and OEMs; our non-PRC semiconductor companies and OEM customers were limited in, or prohibited from, selling devices into the PRC that incorporate our products; PRC semiconductor companies and OEMs develop and use their own technology or use our competitors’ technology in some or all of their devices; or our PRC customers delay or cease making payments of license fees owed, our business, revenues, results of operations, cash flows and financial condition could be materially harmed.</w:t>
      </w:r>
    </w:p>
    <w:p>
      <w:pPr>
        <w:spacing w:after="0" w:line="18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U.S. and U.K. have trade and national security policies regarding exports to the PRC of technology with potential military uses that would require us to obtain export licenses for certain processors, which can be difficult to obtain. For example, the highest performance processor in our Neoverse series of processors meets or exceeds performance thresholds under U.S. and U.K. export control regimes and thereby triggers U.S. and U.K. export license requirements prior to export and delivery to customers in the PRC. Given that national security concerns are higher for HPC technologies destined for the PRC and government response timelines are not defined, it can be challenging and unpredictable to obtain such export licenses. Combined with customer need for certainty, we have been able to address customer demand by licensing other CPU cores that do not exceed the</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HPC performance export control thresholds but yet still present a compelling solution. Although our inability to sell such Neoverse processor into the PRC has not had a material impact on our business to date, future restrictions on sales of our products into the PRC could have a material adverse impact on our business.</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Finally, government policies in the PRC that regulate the amount and timing of funds that may flow out of the country have impacted and may continue to impact the timing and/or ability to receive funds generated from PRC-related revenues, which may negatively affect our cash flows.</w:t>
      </w:r>
    </w:p>
    <w:p>
      <w:pPr>
        <w:spacing w:after="0" w:line="232"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We depend on our commercial relationship with Arm China to access the PRC market. If that commercial relationship no longer existed or deteriorates, our ability to compete in the PRC market could be materially and adversely affected.</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Substantially all of our PRC-related revenue is earned through the IPLA, pursuant to which, among other things, we granted Arm China certain exclusive rights to sublicense our IP to PRC customers. We expect that our licensing relationship with Arm China will continue to account for substantially all of our total revenues from the PRC and represent a significant portion of our revenues for the foreseeable future. It would be difficult for us to replace any lost PRC-sourced revenue in the event that our commercial relationship with Arm China were to terminate or deteriorate. Accordingly, we expect that Arm China will continue to provide our primary access to the PRC market for the foreseeable future. If we fail to maintain our commercial relationship with Arm China, our access to the PRC market could be materially diminished and our business, results of operations, financial condition and prospects for growth could be materially and adversely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Neither we nor SoftBank control the operations of Arm China, which operates independently of us.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Despite our significant reliance on Arm China through our commercial relationship with them, both as a source of revenue and a conduit to the important PRC market, Arm China operates independently of us. On March 28, 2022, we transferred our entire equity interest in Arm China to a subsidiary of SoftBank. As of the date of this prospectus, approximately 48% of the equity interest in Arm China is owned by Acetone Limited, which is controlled by SoftBank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Furthermore, we do not have any direct management rights with respect to Arm China, such as a right to representation on Arm China’s board of directors, although Mr. Haas continues to serve on the board as an appointee of the SoftBank affiliate holding Arm’s former equity interest in Arm China. Following the transfer of our interest in Arm China to a subsidiary of SoftBank, under the terms of the Arm China arrangement, the SoftBank affiliate holding Arm’s former equity interest in Arm China is entitled to appoint a minority of the directors of the board of Arm China, and SoftBank’s appointees are unable to unilaterally implement certain measures that require action by all of or a supermajority of the directors of Arm China.</w:t>
      </w:r>
    </w:p>
    <w:p>
      <w:pPr>
        <w:spacing w:after="0" w:line="16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fact that Arm China operates independently of us exposes us to significant risks. Arm China’s value to us as a customer is dependent on Arm China’s business results, which are, in turn, subject to substantial risks that are outside of our control. For example, Arm China may not commit the necessary resources to market and sell our products to PRC end-users of our semiconductor IP products. Arm China also may fail to comply with the laws and regulatory requirements applicable to its business, which could limit its ability to market or sell our products in the PRC. In addition, Arm China may fail to attract, train, retain and motivate highly skilled managerial and technical personnel necessary for its business. Arm China may also have difficulties accessing funding or enforcing contractual relationships. The realization of these or other risks related to Arm China’s business may have a material adverse effect on Arm China’s business, results of operations, financial condition</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and prospects and, by extension, our own. Since Arm China operates independently of us and we do not control Arm China, our ability to take measures to address the various risks facing Arm China is limited. If any of such risks related to Arm China’s business are realized, our revenue could materially decline and our results of operations could be materially adversely affected.</w:t>
      </w:r>
    </w:p>
    <w:p>
      <w:pPr>
        <w:spacing w:after="0" w:line="184"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Under the IPLA with Arm China, Arm China’s payments due to us are determined based on the financial information that Arm China provides to us. Accordingly, similar to our other royalty customers, we are dependent on Arm China providing us with reliable and timely information. We perform various procedures to assess the reasonableness of Arm China’s data, and the IPLA includes rights for us to audit Arm China’s activities to ensure compliance with the IPLA. In the past, we have had issues obtaining timely and accurate information from Arm China. We believe the underlying problems causing our past inability to obtain such information have been resolved, but we can provide no assurances that our access to Arm China’s records will not be inhibited again in the future. If Arm China does not provide us with timely and accurate information, our revenue could materially decline and our results of operations could be materially adversely affected. We are also dependent on Arm China paying us the amounts that it owes us in a timely manner and in full. In the past, we have received late payments from Arm China and have had to expend company resources to obtain payments from Arm China. Although these historical issues did not have a material impact on our operations, any future failure to pay us the amounts we are owed under the IPLA could have a material adverse effect on our business, results of operations, cash flows and financial condition.</w:t>
      </w:r>
    </w:p>
    <w:p>
      <w:pPr>
        <w:spacing w:after="0" w:line="16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Furthermore, Arm China has possession of or access to certain material IP and customer data pursuant to the IPLA and other commercial arrangements with us. Although Arm China is contractually obligated to protect this IP and data, we are limited in our ability to monitor or influence the manner in which Arm China protects our IP and data from theft, loss or misuse. Arm China operates its own separate information technology infrastructure. Aside from customary audit rights and protections under the IPLA, we are therefore unable to independently assure the adequacy of protections that Arm China implements with respect to its possession and/or access to our IP and data.</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IPLA with Arm China, we are contractually obligated to indemnify both Arm China and its PRC customers that sublicense our IP in the event that either Arm China or such customers incur damages or costs in lawsuits, administrative proceedings or similar actions based upon a claim that our IP infringes the IP of a third party. The liability that we incur to Arm China or its PRC customers under such provisions could be significant and have a material adverse effect on our results of operations and liquidity.</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Additionally, since April 2022, Allen Wu, the former chief executive officer of Arm China, and certain entities under his effective control, have initiated several lawsuits in the courts of the PRC seeking to challenge certain aspects of Arm China’s corporate governance and the actions of Arm China’s board of directors. To date, all cases that have been resolved at the trial court level have been resolved favorably to Arm China but are subject to appeal. In the event that certain of these cases were to be decided adversely to Arm China, it could result in further changes to Arm China’s corporate governance and management structure, which could reduce SoftBank’s ability to conduct effective oversight of Arm China and result in a material adverse effect on our business, results of operations,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increasing competition with PRC companies that develop their own IP.</w:t>
      </w:r>
    </w:p>
    <w:p>
      <w:pPr>
        <w:spacing w:after="0" w:line="11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Due to various factors, including pressure, encouragement or incentives from, as well as the policies of, the PRC government (whose “Made in China 2025” campaign targets 70% semiconductor self-sufficiency by 2025), concerns over actual, threatened or potential U.S., U.K. or PRC government actions or policies, including trade or national security policies, or other reasons, PRC semiconductor companies and OEMs may increasingly develop their own technology and use such technology in their devices, or use our competitors’ technology in their devices. Specifically, the PRC government’s 14th Five-Year Plan and related initiatives have identified the development of globally competitive PRC companies in “core technologies” such as semiconductors as a key</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policy focus. As part of a government-wide effort to encourage investment and development of domestic semiconductor capabilities, the PRC government could encourage financing opportunities to our competitors in the PRC on favorable terms, or influence major PRC customers to favor adoption of IP of our competitors in the PRC over our own IP.</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With respect to Arm China, although the terms of the IPLA with Arm China prohibit Arm China from developing microprocessor cores and only allow Arm China to develop derivative products using Arm IP with our consent, Arm China may independently develop competitive products other than microprocessor cores and could divert customer interest from our products to increase its market share to our detriment. The realization of any such risks could materially harm our business, results of operations, cash flows and financial condition.</w:t>
      </w:r>
    </w:p>
    <w:p>
      <w:pPr>
        <w:spacing w:after="0" w:line="27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business and future operating results may be materially and adversely affected by global economic conditions and other events outside of our control.</w:t>
      </w:r>
    </w:p>
    <w:p>
      <w:pPr>
        <w:spacing w:after="0" w:line="62"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In early 2023, the World Bank warned that the global economy is close to a recession with global growth sharply declining due to, among other things, high inflation, deteriorating financial conditions, and rising geopolitical tensions. We are subject to risks arising from adverse changes in global economic conditions. In particular, due to economic uncertainties in many of our key markets, our customers and their customers may delay, suspend or reduce technology purchases and investments and/or delay their payments to us.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Economic conditions could continue to deteriorate in the future, and, in particular, the semiconductor and electronics industries could fail to grow, including as a result of the effects of, among other things, rising inflation and interest rates, a sustained global semiconductor shortage, supply chain disruptions, the COVID-19 pandemic and any disruption of international trade relationships such as tariffs, export licenses or other government trade restrictions. In addition, adverse economic conditions affect demand for devices that our products help create, such as smartphones, automobiles and servers. Longer-term reduced demand for these or other devices could result in reduced demand for our products and significant decreases in our licensing fees and royalties over time. In addition, if our customers or distributors build elevated inventory levels, we could experience a decrease in short-term and/or long-term demand for our products. If any of these events or disruptions were to occur, the demand for our products could be materially adversely affected along with our business, results of operations, financial condition and prospects.</w:t>
      </w:r>
    </w:p>
    <w:p>
      <w:pPr>
        <w:spacing w:after="0" w:line="178"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Our business and operating results are also vulnerable to interruption by other events outside of our control, such as earthquakes, fire, extreme weather events, power loss, telecommunications failures, political instability, geopolitical turmoil, such as the war in Ukraine and any sanctions, export controls or restrictions on doing business with Russia and Belarus, as well as any resulting disruption, instability or volatility in the global markets and industries resulting from such conflict, pandemics, military conflict and uncertainties arising out of terrorist attacks, including a global economic slowdown, the economic consequences of a resurgence and escalation of the trade war between the U.S. and the PRC, the potential for conflict in Taiwan and the associated disruptions to, or effects on, the semiconductor industry, uncertainties resulting from the U.K.’s withdrawal from the European Union, commonly referred to as Brexit, military action or terrorist activities and associated political instability. Economic or political instability may undermine consumer confidence and/or cause current or potential customers, including the end customers of our customers or potential customers, to reduce or delay their technology purchases and investments. Such events could also materially adversely affect our ability to operate and supply our products to our customers.</w:t>
      </w:r>
    </w:p>
    <w:p>
      <w:pPr>
        <w:spacing w:after="0" w:line="18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Brexit has caused, and may continue to cause, uncertainty with respect to the future of the U.K.’s economic and political relationship with the European Union, which could increase taxes and costs of business and cause heightened volatility in currency exchange rates and interest rates. Continued uncertainty and events related to Brexit could have a negative impact on consumer confidence and wages, leading to a decrease in the gross domestic product of the U.K. Brexit could also adversely affect the political, regulatory, economic or market conditions in the U.K., the European Union and worldwide, and could contribute to instability in political institutions, regulatory agencies and financial markets.</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regularly maintain cash balances at third-party financial institutions in excess of government-insured limits. The U.S. Federal Deposit Insurance Corporation took control and was appointed receiver of Silicon Valley Bank, New York Signature Bank and First Republic Bank on March 10, 2023, March 12, 2023 and May 1, 2023, respectively. We do not have any direct exposure to Silicon Valley Bank, New York Signature Bank or First Republic Bank. However, if other banks and financial institutions, including financial institutions at which we maintain deposits, enter receivership or become insolvent in the future in response to financial conditions affecting the banking system and financial markets or otherwise, our ability and our customers’ ability to access cash, cash equivalents and investments may be threatened.</w:t>
      </w:r>
    </w:p>
    <w:p>
      <w:pPr>
        <w:spacing w:after="0" w:line="178"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These factors could cause customers to delay, decrease or cancel the licensing of our products and could expose us to increased credit risk on customer obligations owed to us, each of which could have a material adverse effect on our business, results of operations, financial condition and prospects.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operating results and revenue could be adversely affected by customer payment delays, customer bankruptcies and defaults or modifications of contractual commitments.</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Certain of our customers have and may continue to, and others in the future may, face challenging financial or operating conditions, including due to macroeconomic conditions or catastrophic events or other factors,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certain of our customers have in the past sought, and customers may in the future seek, to renegotiate pre-existing contractual commitments. Payment defaults by our customers or significant reductions in existing contractual commitments could have a material adverse effect on our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Sustained inflation could have a material adverse effect on our business, results of operations, financial condition and prospects.</w:t>
      </w:r>
    </w:p>
    <w:p>
      <w:pPr>
        <w:spacing w:after="0" w:line="1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Inflation rates in the markets in which we operate have increased and may continue to rise. Sustained or increasing inflation could increase our operating expenses, including labor costs and research and development expenditures, or result in employee attrition to the extent our remuneration does not keep pace with inflation, particularly if our competitors’ remuneration does. Further, inflationary pressures may increase costs for our customers and reduce demand for our products or our customers’ products due to increased prices. In addition, some of our long-term licenses include an annual increase in license fees. However, these annual increases may fall below the then-current rate of inflation, which could make maintaining these licenses less profitable than we had anticipated when we originally signed the license. To the extent inflation results in rising interest rates and has other adverse effects on the market, it may further adversely affect our business, results of operations, financial condition and prospects.</w:t>
      </w:r>
    </w:p>
    <w:p>
      <w:pPr>
        <w:spacing w:after="0" w:line="27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An epidemic, pandemic or other health crisis could materially and adversely affect our business, results of operations, financial condition and prospects</w:t>
      </w:r>
    </w:p>
    <w:p>
      <w:pPr>
        <w:spacing w:after="0" w:line="62"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Public health crises, including the COVID-19 pandemic and the emergence and spread of COVID-19 variants, have previously resulted in significant economic uncertainty, significant volatility in business and consumer confidence and global consumer demand, and a global economic slowdown. Government policies and other preventive and precautionary measures that governments and businesses have implemented in the past to limit the spread of an epidemic, pandemic or other health crisis, including, but not limited to, travel bans and restrictions, quarantines, shelter-in-place and social distancing orders, declarations of states of emergency and shutdowns, have exacerbated these issues.</w:t>
      </w:r>
    </w:p>
    <w:p>
      <w:pPr>
        <w:spacing w:after="0" w:line="16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Although restrictions may from time to time ease in certain jurisdictions, there is continued uncertainty regarding the duration, scope and severity of the COVID-19 pandemic, particularly with the emergence of new variants of COVID-19 and periodic spikes in COVID-19 cases in various geographic regions. In particular, the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recent resurgence of the pandemic in the PRC, one of our most significant markets, after the government abandoned its zero-tolerance policy for COVID-19, may cause the reinstatement of restrictions across various jurisdictions and could adversely affect many industries in the PRC and globally. The pandemic in the PRC has resulted from time to time in widespread lockdowns in various areas of the country and has had, and may continue to have, a significant adverse effect on the PRC economy and, in turn, demand for our products.</w:t>
      </w:r>
    </w:p>
    <w:p>
      <w:pPr>
        <w:spacing w:after="0" w:line="18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COVID-19 pandemic has also contributed to volatility in the financial markets and may increase the possibility of an extended global economic downturn and extended periods of high inflation, which could continue to affect demand for our products, demand for end products that incorporate our products and our ability to collect payments from our customers.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unable to accurately predict the impact that COVID-19 will continue to have on our business, results of operations, financial condition and prospects due to uncertainties, including the existence, severity and duration of future outbreaks and additional actions that may be taken by businesses and governmental authorities. Nevertheless, to the extent the COVID-19 pandemic or an unrelated epidemic, pandemic or other health crisis adversely affects our business, it may also have the effect of heightening many of the other risks described in these risk factors relating to our business and industry, such as those relating to demand for end products incorporating our products. The cumulative effects of these developments could have a material adverse effect on our business, results of operations,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adequately fund our research and development efforts may materially impair our ability to compete effectively.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remain competitive, we must continue to develop new products, applications and enhancements to our existing products and services, particularly as next generation technology is adopted by market participants. Allocating and maintaining adequate research and development resources, such as the appropriate personnel and development technology, to meet the evolving demands of the market is essential to our continued success, but our allocations may be inadequate or we may pursue research and development initiatives based on assumptions about future demand that prove to be incorrect. Our competitors may expend considerably greater resources to support their respective research and development programs than we do, which may give our competitors a competitive advantage.</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ability to fund research and development expenditures depends on generating sufficient revenue and cash flow from operations and the availability of external financing, if necessary. Our research and development expenditures, together with other ongoing operating expenses, is a substantial drain on cash flow and may decrease cash balances, which may limit our ability to pursue other potentially attractive initiatives. On the other hand, if we allocate our resources to such other potentially attractive initiatives or pay dividends to our shareholders, our research and development efforts may be harmed or we may need to seek external financing in order to fund our efforts. If new competitors, technological advances by existing competitors, other competitive factors or market changes require us to invest significantly greater resources than anticipated in research and development efforts, total operating expenses would increase. If we are required to invest significantly greater resources than anticipated in research and development efforts without an associated increase in revenue, our operating results could decline.</w:t>
      </w:r>
    </w:p>
    <w:p>
      <w:pPr>
        <w:spacing w:after="0" w:line="178"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Additionally, our processors often run software created by independent software vendors or through open-source communities. Each end market has its own ecosystem of software and tools providers, including from open-source communities. These ecosystems need to be supported by our engineers and resources, and by our customers, including, from time to time, through direct monetary investment. In some circumstances, we may also need to subsidize or fund our customers’ research and development efforts. Insufficient investment may result in the ecosystems and/or customers providing better support for end products not based on our products leading to systems companies not choosing chips based on our products, which would result in a reduction in our revenues.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semiconductor industry relies on a limited number of companies to manufacture chips and related products. The chip manufacturing operations of these companies are concentrated in certain geographic regions, including Taiwan and other parts of East Asia, which makes us susceptible to adverse developments in these regions’ economic and political conditions, particularly to the extent that such developments create an unfavorable business environment that significantly affects our and our customers’ operations. These manufacturers or the geographic regions in which they operate may be impacted by events outside of our or their control, including, among other things, company-specific operational issues, trade conflicts and military action or terrorist activities and associated political instability, any of which could have a material adverse effect on our business, results of operations, financial condition and prospects. Although the governments of certain countries, including the U.S., have taken actions to make their countries more attractive for chip manufacturing operations, there can be no assurances that the current geographic concentration of chip manufacturing will be meaningfully changed in the near term or at all.</w:t>
      </w:r>
    </w:p>
    <w:p>
      <w:pPr>
        <w:spacing w:after="0" w:line="18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Any escalation in geopolitical tensions in Asia, particularly between the PRC and Taiwan, could significantly disrupt semiconductor chip manufacturing and interrupt the global semiconductor chip supply chain. A significant portion of the world’s semiconductor manufacturing is in Taiwan, and increased geopolitical tensions there could exacerbate supply chain disruptions. In addition, the war in Ukraine could lead to market disruptions and exacerbate current supply chain constraints, including with respect to certain materials and metals, which are essential in semiconductor manufacturing.</w:t>
      </w:r>
    </w:p>
    <w:p>
      <w:pPr>
        <w:spacing w:after="0" w:line="2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New technologies, such as AI and ML, may use algorithms that are not suitable for a general purpose CPU, such as our processors, and the failure to successfully implement new technologies in our processors could have a material adverse effect on our business, competitive position, results of operations, financial condition and prospects.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New technologies, such as AI and ML, may use algorithms that are not suitable for a general purpose CPU, such as our processors. Consequently, our processors may become less important in a chip based on our products, thus eroding its value to the customer and resulting in lower revenue for us. If we are unable to develop and commercialize processors that are compatible with new technologies or competitors are successful in developing compatible technologies more quickly or efficiently than we can, our business, competitive position, results of operations, financial condition and prospects may be materially and adversely affected. In addition, the introduction of new technologies, such as AI and ML, into our processors may increase IP, cybersecurity, operational, data protection and technological risks and result in new or enhanced governmental or regulatory scrutiny, litigation, ethical concerns, or other complications that could materially and adversely affect our business. As a result of the complexity and rapid development of new technologies, it is not possible to predict all of the legal, operational or technological risks related to use of such technologies. Furthermore, new technologies, such as AI and ML, are the subject of evolving review by various governmental and regulatory bodies and agencies, and changes in laws, rules, directives and regulations governing the use of such technologies may adversely affect the ability of our business to develop and use such technologies.</w:t>
      </w:r>
    </w:p>
    <w:p>
      <w:pPr>
        <w:spacing w:after="0" w:line="29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rely on our management team and will need additional personnel to grow our business, and the loss of one or more key employees or our inability to attract and retain qualified personnel could harm our business.</w:t>
      </w:r>
    </w:p>
    <w:p>
      <w:pPr>
        <w:spacing w:after="0" w:line="6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future success is substantially dependent on our ability to attract, integrate, retain and motivate our management team and other key personnel and we are particularly dependent on our senior management team, including Mr. Haas, our Chief Executive Officer, Mr. Child, our Chief Financial Officer, Mr. Collins, our Chief Legal Officer, Mr. Grisenthwaite, our Chief Architect, and other key employees. Competition for highly skilled</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personnel, and particularly engineers, can be intense. Other companies may be successful in recruiting and hiring members of our management team or other key employees, and it may be difficult for us to find suitable replacements on a timely basis, on competitive terms or at all. We experience voluntary attrition on an ongoing basis, and we reduced overall headcount as part of a restructuring that was completed in June 2022 to address duplicative work functions and deprioritize certain initiatives within the Company. Circumstances may require a further reduction in the overall size of our organization, which may present challenges in managing and growing our business. If we lose the services of any of our senior management personnel, other key personnel or a significant number of our engineers or sales and marketing personnel, our development efforts or business relationships could be disrupted, which could have a material adverse effect on our business, results of operations, financial condition and prospects. Our future success significantly depends on our ability to identify, attract, motivate and retain qualified engineers with the requisite educational background and industry experience. Competition for such qualified engineers is intense and the cost of attracting and retaining qualified employees may increase without a corresponding increase in the prices we charge our customers, which could materially and adversely affect our profitability. In certain geographic regions, there is also intense competition for sales and marketing personnel, which may adversely affect our ability to expand into new markets. Particularly, changes to the U.K.’s border and immigration policy could occur as a result of Brexit, potentially affecting our ability to recruit and retain employees from outside the U.K. If we are unsuccessful in attracting and retaining qualified personnel to fulfill our current or future needs, our business, results of operations, financial condition and prospects could be materially and adversely affected.</w:t>
      </w:r>
    </w:p>
    <w:p>
      <w:pPr>
        <w:spacing w:after="0" w:line="27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Competitive pressures or market opportunities may necessitate reductions in our pricing or change our business terms or business model, which could materially and adversely affect our business, results of operations, financial condition and prospects.</w:t>
      </w:r>
    </w:p>
    <w:p>
      <w:pPr>
        <w:spacing w:after="0" w:line="3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order to remain competitive in the highly competitive markets in which we do business, we may need to reduce the prices of our products or services or otherwise change the structure and terms of our customer relationships or our business model. If our competitors offer significant discounts on certain products in an effort to recapture or gain market share or to sell other software or hardware products, we may need to lower our prices or offer other favorable terms to compete successfully. Any such changes would likely reduce our profit margins and could have a material adverse effect on our business, results of operations, financial condition and prospects. Any substantial changes to our other commercial arrangements with our customers or our business model could cause revenues to decline or be delayed as our sales force implements and our customers adjust to the commercial arrangements or business model. Changes to our business model could also necessitate changes in our product mix, which could cause revenues or profitability to decline, particularly if such changes in our product mix result in an increased reliance on lower margin offerings. If we cannot offset price reductions with a corresponding increase in sales volume or by reducing our costs, then the reduced revenues resulting from lower prices could have a material adverse effect on our business, results of operations, financial condition and prospects.</w:t>
      </w:r>
    </w:p>
    <w:p>
      <w:pPr>
        <w:spacing w:after="0" w:line="16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Additionally, in the future, in response to market opportunities and pressures, we are likely to offer new products or services that may directly compete with the products and services of some of our customers or partners. This may create real or perceived competitive conflicts with companies that are important to our business, and as a result of such competition, such customers or partners may terminate or materially reduce their relationship with us.</w:t>
      </w:r>
    </w:p>
    <w:p>
      <w:pPr>
        <w:spacing w:after="0" w:line="29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believe that it is crucial for the market acceptance of our products to have available development tools, systems software, EDA software and operating systems that are compatible with our products. Although we currently work with other third-party partners to offer such tools and software compatible with our products, we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cannot assure you that such tools and software are or will continue to be sufficient to support customers’ needs, that our existing partners will continue to offer such tools, software and operating systems compatible with our products, or that we will continue to attract additional tools, software and operating systems partners. 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Participation in standards-setting organizations may subject us to IP licensing requirements or limitations that could adversely affect our business and prospects.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participation in standards-setting organizations or with other industry initiatives may require us to license our patents or products to companies that adopt industry-standard specifications. Depending on the rules of the organization, government regulations, or court decisions, we may be required to grant to all other participants licenses to our patents or products that are essential to the practice of those standards for little or no cost, or otherwise on RAND terms, which could limit our control over the use of these patents and products. If we fail to limit to whom we license our patents or products, or fail to limit the terms of any such licenses, we may be required to license our patents or other IP to others in the future, which could limit the effectiveness of our patents against competitors. In these situations, the royalty rates we charge could be limited for these products, and we may be unable to limit to whom we license such products or to restrict many terms of the license. As a result, we may be unable to enforce certain patents against others, our costs of enforcing our licenses or protecting our patents may increase, and the value of our IP rights may be impaired. We may in the future be subject to claims that our licensing of industry standard technologies may not conform to the requirements of the standards-setting organization. Allegations such as these could be asserted in private actions seeking monetary damages and injunctive relief, or in regulatory actions. Claimants in such cases could seek to restrict or change our licensing practices or our ability to license our products. Any of the foregoing could have a material adverse effect on our business, results of operations, financial condition and prospects.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products do not conform to, or are not compatible with, existing or emerging industry standards, demand for our products may decrease.</w:t>
      </w:r>
    </w:p>
    <w:p>
      <w:pPr>
        <w:spacing w:after="0" w:line="14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design certain of our products to conform to industry standards. Some industry standards may not be widely adopted or implemented uniformly, and competing standards may emerge that may be preferred by our customers or by our third-party suppliers. In addition, existing standards may be superseded by new innovations or standards. Because our products often use a common architecture and our new architecture products often are based on legacy products, obsolescence of components or features of our products may have a more significant effect on our results of operations, financial condition and prospects than if our products were less interrelated. See “—Developing new products requires us to expend significant resources without assurances that we will generate revenue in the amounts we anticipate, on the expected timeline or at all.”</w:t>
      </w:r>
    </w:p>
    <w:p>
      <w:pPr>
        <w:spacing w:after="0" w:line="272"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We use certain software governed by open-source licenses and we contribute to certain open-source projects, which under certain circumstances could materially adversely affect our business, results of operations, financial condition and prospects.</w:t>
      </w:r>
    </w:p>
    <w:p>
      <w:pPr>
        <w:spacing w:after="0" w:line="3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Certain of our software, as well as that of our customers, third-party partners and vendors, may be derived from “open-source” software that is generally made available to the public by its authors or other third parties. Open-source software is made available under licenses that impose certain obligations on us in the event we were to distribute derivative works of the open-source software. These obligations may require us to make source code for the derivative works available to the public and/or license such derivative works under a particular type of license, rather than the forms of license we customarily use to protect our IP. In the event that the copyright holder of any open-source software were to successfully establish in court that we had not complied with the terms of a license for a particular work, we could be required to release the source code of that work to the public or stop distribution of that work if the license is terminated, which could adversely affect our business, results of operations, financial condition and prospects.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While we take steps to monitor the use of all open-source software in our products and try to ensure that no open-source software is used in such a way as to require us to disclose the source code to the related products when we do not wish to do so, such use could inadvertently occur. Additionally, if a third-party software provider has incorporated certain types of open-source software into software we license from such third party for our products, we could, under certain circumstances, be required to disclose the source code to our products. This could harm our IP position and have a material adverse effect on our business, results of operations, financial condition and prospects.</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 although some open-source vendors provide warranty and support agreements, it is common for such software to be available “as-is” with no warranty, indemnity or support. Some of our products use open-source libraries that could contain vulnerabilities, and these may be discovered at any time. These vulnerabilities are often disclosed publicly without forewarning to the users of the software. Accordingly, our products may contain vulnerabilities originating from open-source software without our knowledge, and we may not have the opportunity to address such vulnerabilities before they are disclosed to the public. Although we monitor our use of open-source software to avoid subjecting our products to unintended conditions or vulnerabilities, such use, under certain circumstances, could materially adversely affect our business, results of operations, financial condition, prospects and reputation, including if we are required to take remedial action that may divert resources away from our development efforts.</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Finally, from time to time we contribute software source code to open-source projects under open-source licenses. Any source code we contribute to open-source projects is publicly available. As such, our ability to protect our IP rights with respect to such software source code may be limited or lost entirely, and we may be unable to prevent our competitors or others from using such contributed software source code. Any of these risks could be difficult to eliminate or manage, and could harm our IP position and have a material adverse effect on our business, results of operations, financial condition and prospects.</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It may be difficult for us to verify customer data, including royalty amounts owed to us under our licensing agreements, and this may cause us to lose revenues.</w:t>
      </w:r>
    </w:p>
    <w:p>
      <w:pPr>
        <w:spacing w:after="0" w:line="6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seek to ensure that our customers adhere to the terms of our license agreements, including their obligation to provide certain data to us. We perform various procedures to assess customer data related to royalties for reasonableness, and our license agreements generally include rights for us to audit the books and records of our customers to verify certain types of customer data. However, audits can be expensive and time-consuming, and even after conducting an audit, it may still be challenging for us to verify the accuracy of information contained in customer royalty reports, or a customer could potentially object to the results of such audit. We can provide no assurances that our procedures to assess customer data and any audits that we undertake to verify the accuracy of our customers data will be successful. As a result, we may not always receive complete or accurate information (financial or otherwise) from our customers or obtain all royalty payments to which we are legally entitled, which could have a material adverse effect on our business, results of operations,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Changes in our business model could have a material adverse effect on our business, results of operations, financial condition and prospects.</w:t>
      </w:r>
    </w:p>
    <w:p>
      <w:pPr>
        <w:spacing w:after="0" w:line="14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in the past made and may in the future make changes to our business model. We can provide no assurances that customers will accept these changes, which could result in lower revenues, particularly in the period immediately following the initial introduction of a new business model. In such case, we may not realize the anticipated financial benefits of such changes in the amounts we anticipate, on the expected timeline or at all. For example, we recently introduced new approaches to licensing certain of our products to our customers. As a result of introducing a relatively small annual fee under one new licensing model, for example, the payment by customers of fees under this new licensing model will be collected based on the negotiated annual fee leading to a deferral of upfront license fees that we have historically received under a TLA. This deferral of such licensing fees is expected to continue to have an adverse effect on our licensing revenue in the short term.</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increases in the number or value of licenses signed in the future may not materialize in the same way or at all under a new business model and, therefore, licensing revenue and royalty revenue may be lower than expected. Further, the use of a new business model may have unexpected consequences for our company, including making our products less attractive to current and prospective customers, which could have a material adverse effect on our business, competitive position, results of operations, financial condition and prospects.</w:t>
      </w:r>
    </w:p>
    <w:p>
      <w:pPr>
        <w:spacing w:after="0" w:line="2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unable to make acquisitions and investments, or successfully integrate them into our business, and we may be unable to divest businesses on acceptable terms or at all.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part of our business strategy, we consider a wide array of potential strategic transactions, including acquisitions of businesses, new technologies, services and other assets, joint ventures and strategic investments that complement our business. We may be unable to identify or complete prospective transactions for many reasons, including increasing competition from other potential acquirers or investors, the effects of consolidation in our industries or potentially high valuations of acquisition or investment candidates. Certain agreements to which we are subject from time to time may also contractually restrict our ability to make acquisitions and investments in some circumstances. In addition, applicable antitrust, national security (including with respect to the U.K. National Security and Investment Act 2021 or the Committee on Foreign Investment in the United States) or other laws or regulations may limit our ability to acquire, invest in or integrate targets, or may force us to divest an acquired business or impose restrictions on an investment. If we are unable to identify suitable targets or complete or successfully integrate acquisitions, our growth prospects may suffer, and we may not be able to realize sufficient scale and technological advantages to compete effectively in all markets. Acquisitions involve numerous risks, any of which could negatively affect our business, results of operations, financial condition and prospects, including with respect to timing or delays, diversion of financial and management resources from existing operations or alternative acquisition opportunities, subsequent litigation, retention of key employees or business partners, and theft of information disclosed during the transaction. If we fail to address the foregoing risks or other problems encountered in connection with past or future acquisitions of businesses, new technologies, services and other assets and strategic investments, or if we fail to successfully integrate such acquisitions or investments to realize anticipated benefits or synergies, our business, results of operations, financial condition and prospects could be adversely affected.</w:t>
      </w:r>
    </w:p>
    <w:p>
      <w:pPr>
        <w:spacing w:after="0" w:line="18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we have in the past divested and reduced, and may in the future divest or reduce, our investment in certain businesses or product lines from time to time. Such divestitures involve risks, such as the difficulty of identifying and separating out specific assets within a business, distracting employees, incurring potential loss of revenue and cash flow, negatively impacting margins, and potentially disrupting customer and employee relationships. We may also incur significant costs associated with exit or disposal activities, related impairment charges, or both.</w:t>
      </w:r>
    </w:p>
    <w:p>
      <w:pPr>
        <w:spacing w:after="0" w:line="26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There may be risks associated with organic growth or growth from strategic investments or acquisitions we make, and we may fail to effectively manage our growth.</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could experience rapid growth in our headcount and operations through acquisitions, strategic investments and organic growth. This growth can place significant demands on our management and our operational and financial infrastructure. Our ability to manage our growth effectively and to integrate new technologies, businesses and personnel into our existing business may require us to expand our operational and financial infrastructure and to address the retention, attraction, training, motivation and management of employees across a broader geographical and operational footprint. Such growth could strain our ability to develop and improve our operational, financial and management controls, enhance our reporting systems and procedures, recruit, train and retain highly skilled personnel, implement systems, policies, benefits and compliance programs across different jurisdictions, maintain our culture and maintain customer and brand satisfaction. Additionally, if we do not effectively manage the growth of our business and operations, the quality of our products and services could suffer, which could negatively affect our brand, operating results and overall business. The failure to effectively manage the growth of our strategic investments could also cause the value of</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such investments to decline. If we fail to achieve the necessary level of efficiency in our organization as it grows, our business, results of operations, financial condition and prospects could be materially and adversely affected.</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financial statements include significant amounts of goodwill and other intangible assets. The impairment of a significant portion of these assets would adversely affect our reported results of operations and financial position.</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goodwill and other intangible assets recognized in our financial statements represented 23.6% and 2.0%, respectively, of our total assets as of March 31, 2023 (25.1% and 3.1%, respectively, as of March 31, 2022). Within other intangible assets, our principal assets are our patents and licenses (6.5% of total other intangible assets as of March 31, 2023) and software or software assets under construction (90.6% of total other intangible assets as of March 31, 2023). Any further acquisitions may result in our recognition of additional goodwill or other intangible assets. We evaluate on a regular basis whether all or a portion of our goodwill and other intangible assets may be impaired. Under current accounting rules, any determination that impairment has occurred would require us to record an impairment charge, which would negatively affect our results of operations.</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recognized impairments for the fiscal year ended March 31, 2022 in relation to specific historically acquired or developed products that were no longer being licensed, and we have also recognized impairments in the past.</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we capitalize and amortize the qualifying costs of internally developed software for its operating platforms and related back-office systems over the estimated useful lives of these intangible assets (generally between three and five years). If projects fail to deliver anticipated results in line with our estimates and assumptions, then we may be required to write-down the intangible asset costs, which could adversely affect our financial condition, results of operations and the trading price of our securities.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An impairment or write-down of a significant portion of goodwill, other intangible assets or capitalized development costs could have a material adverse effect on our reported results of operations and our financial position.</w:t>
      </w:r>
    </w:p>
    <w:p>
      <w:pPr>
        <w:spacing w:after="0" w:line="278"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Our financial and operational flexibility may be restricted by covenants contained in loan agreements we may enter into in the future, and we may be unable to comply with the restrictions and financial and operational covenants imposed by such agreements.</w:t>
      </w:r>
    </w:p>
    <w:p>
      <w:pPr>
        <w:spacing w:after="0" w:line="3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currently have any debt, but we may incur debt in the future. Future creditors may subject us to certain restrictions on our business and future financing activities as well as certain financial and operational covenants. Such restrictions and covenants may prevent us from taking actions that otherwise might be deemed to be in the best interest of us and holders of our ADSs. Debt service obligations may require us in the future to dedicate a substantial portion of our cash flows from operations to payments of principal and interest on our interest-bearing debt, which could limit our ability to obtain additional financing, make capital expenditures and acquisitions and carry out other general corporate activities in the future. Any such obligations may also limit our flexibility in planning for, or reacting to, changes in our business and the industry in which we operate or detract from our ability to successfully withstand a downturn in our business or the economy in general.</w:t>
      </w:r>
    </w:p>
    <w:p>
      <w:pPr>
        <w:spacing w:after="0" w:line="2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76"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success and ability to compete depend significantly on protecting our IP rights. We primarily rely on patent, copyright, trade secret and trademark laws, trade secret protection and contractual protections, such as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confidentiality, invention assignment and license agreements with our employees, customers, third-party partners and others, to protect our IP rights. The steps we take to protect our IP rights may be inadequate. We also may not be able to obtain desired patents, and our pending (of which we currently have approximately 2,700) or future patent applications, whether or not being currently challenged, may not result in the issuance of patents with the scope of protection we seek, including in jurisdictions of strategic importance and, if issued, may not provide any meaningful protection or competitive advantage. The scope of our patent protections may be adversely affected by changes in legal precedent and patent office interpretation of these precedents. Further, patents directed to particular subject matter associated with our business (</w:t>
      </w:r>
      <w:r>
        <w:rPr>
          <w:rFonts w:ascii="Arial" w:cs="Arial" w:eastAsia="Arial" w:hAnsi="Arial"/>
          <w:sz w:val="16"/>
          <w:szCs w:val="16"/>
          <w:i w:val="1"/>
          <w:iCs w:val="1"/>
          <w:color w:val="auto"/>
        </w:rPr>
        <w:t>e.g.</w:t>
      </w:r>
      <w:r>
        <w:rPr>
          <w:rFonts w:ascii="Arial" w:cs="Arial" w:eastAsia="Arial" w:hAnsi="Arial"/>
          <w:sz w:val="16"/>
          <w:szCs w:val="16"/>
          <w:color w:val="auto"/>
        </w:rPr>
        <w:t>, CPU architecture) may be difficult to obtain and enforce in many jurisdictions and there may also be limits on recovery for damages in those jurisdictions. Any of our existing patents, and any future patents, may be challenged, narrowed, invalidated or circumvented. Further, we may be unsuccessful in executing adequate invention assignment agreements with all employees, contractors or other third parties involved in the development of our IP portfolio. In certain jurisdictions, rights to IP developed by our employees or contractors or other third parties may not automatically vest in us, and our employees or contractors or other third parties may claim ownership in IP that we believe is owned by us. We may also be required to spend significant resources to establish, monitor and protect our IP rights, particularly as we expand our operations globally.</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exposure to different legal jurisdictions also may impact our ability to exercise our contractual and other rights around IP in such jurisdictions, in particular in countries whose laws regarding the protection of IP are less rigorous or more difficult to enforce than in the U.K., the U.S. and the European Union. In jurisdictions where effective IP protection is unavailable or limited, our IP rights may be vulnerable to unauthorized disclosure, infringement, misappropriation or other violation by employees, third-party partners, suppliers, customers and other entities or individuals, even though our customers and partners are contractually restricted from using our IP outside of the agreed-upon licensing arrangements. Policing unauthorized use of our IP is difficult and expensive, and we may not be able, or may lack the resources, to prevent infringement, misappropriation or other violation of our IP rights, including increased difficulty as a foreign entity in certain international locations, particularly outside the U.K., the U.S. and the European Union. In addition, our ability to monitor and control theft, misappropriation or infringement is uncertain, particularly in countries outside of the U.K., the U.S. and the European Union, as the laws of some countries do not provide the same level of protection of our proprietary and confidential information as do the laws of the U.K., the U.S. and the European Union. Moreover, because we deliver our products to our customers in a source form, we have limited ability to trace the source of misappropriation of our IP and there are limited technological barriers (</w:t>
      </w:r>
      <w:r>
        <w:rPr>
          <w:rFonts w:ascii="Arial" w:cs="Arial" w:eastAsia="Arial" w:hAnsi="Arial"/>
          <w:sz w:val="16"/>
          <w:szCs w:val="16"/>
          <w:i w:val="1"/>
          <w:iCs w:val="1"/>
          <w:color w:val="auto"/>
        </w:rPr>
        <w:t>e.g.</w:t>
      </w:r>
      <w:r>
        <w:rPr>
          <w:rFonts w:ascii="Arial" w:cs="Arial" w:eastAsia="Arial" w:hAnsi="Arial"/>
          <w:sz w:val="16"/>
          <w:szCs w:val="16"/>
          <w:color w:val="auto"/>
        </w:rPr>
        <w:t>, remote authorization requirements) we can put in place to protect our products from use by unauthorized parties. Additionally, theft of our IP or proprietary business information (including our trade secrets) could require substantial expenditures and resources to remedy. If we, our employees or our third-party partners, consultants, contractors, vendors or service providers were to suffer an attack or breach, for example, that results in the unauthorized access to, or use, theft, disclosure, misappropriation or sale of, our IP by any unauthorized third parties, we may have to notify consumers, partners or governmental authorities, and may be subject to investigations, civil penalties, administrative and enforcement actions and litigation, any of which could be costly and distracting or otherwise harm our business and reputation.</w:t>
      </w:r>
    </w:p>
    <w:p>
      <w:pPr>
        <w:spacing w:after="0" w:line="39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may be unable to successfully obtain, maintain, protect and enforce our IP rights (including defending against counterfeit, knock-off, grey-market, infringing or otherwise unauthorized goods). Specifically, third parties may distribute, license and sell counterfeit or grey-market versions of our products, which may be inferior or pose safety risks and could confuse consumers or customers, which could cause them to refrain from purchasing our brands in the future or otherwise damage our reputation. The presence of counterfeit versions of our products and technology in the market could also dilute the value of our brands, force us and our customers to compete with heavily discounted products and technology, cause us to be in breach of contract (including license agreements), impact our compliance with distribution and competition laws in jurisdictions including the U.K., the U.S., the European Union and the PRC, or otherwise have a negative impact on our reputation and business, prospects, financial condition or results of operations. Further, we may not be able to detect all violations of our IP rights and, even if we do become aware of any such violations, we may not be able to</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adequately enforce our IP rights in certain domestic and foreign jurisdictions. If we are unable to successfully navigate the relevant legal and regulatory environment and/or enforce our IP rights and/or contractual rights in relevant jurisdictions, our business, results of operations, financial condition and prospects could be materially and adversely impacted.</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Litigation may be necessary in the future to enforce our patents and other IP rights, to protect our trade secrets, to determine the validity and scope of the proprietary rights of others, or to defend against claims of infringement, misappropriation or invalidity. Any such litigation, whether or not determined in our favor or settled by us, could be costly and would divert the efforts and attention of our management and technical personnel from normal business operations, which could have a material adverse effect on our business, results of operations, financial condition and prospects. Furthermore, our efforts to enforce our IP rights may be met with defenses, counterclaims and countersuits attacking the validity and enforceability of our IP rights. In addition, counterparties in litigation may have greater resources that they can dedicate to litigation-related matters than we can. Moreover, litigation against current or former customers and partners may adversely impact existing relationships. Accordingly, we may not be able to prevent third parties from infringing, misappropriating or otherwise violating our IP rights. See also “—We may be sued by third parties for alleged infringement, misappropriation or other violation of their IP rights or proprietary rights and our defense against these claims can be costly.”</w:t>
      </w:r>
    </w:p>
    <w:p>
      <w:pPr>
        <w:spacing w:after="0" w:line="16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any potential dispute involving our patents or other IP, our licensees or the customers of our licensees could also become the target of litigation and we may be bound to indemnify such parties under the terms of our license agreements. Although our indemnification obligations are generally subject to a maximum amount, such obligations could nevertheless result in substantial expenses to us. See “Business—Legal Proceedings.” In addition to the time and expense required for us to indemnify our licensees or the customers of our licensees, such parties’ development, marketing and sales of chips and end products utilizing our products could be severely disrupted or discontinued as a result of litigation, which, in turn, could have a material adverse effect on our business, results of operations, financial condition and prospects.</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Moreover,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Any adverse determinations in litigation could result in the loss of our IP rights or proprietary rights, subject us to significant liabilities, require us to seek licenses from third parties or prevent us from licensing our products, any of which could have a material adverse effect on our business, results of operations, financial condition and prospects. Our failure to obtain, maintain, protect, defend and enforce our IP rights could have a material adverse effect on our brand or our business, results of operations, financial condition and prospects. Furthermore, because our products are often based on a common architecture and our new products are often based on legacy products, adverse events related to our IP may have a more significant impact on us than if our products were less related.</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IP rights or proprietary rights and our defense against these claims can be costly.</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in the past been and may in the future be subject to claims by third parties alleging our infringement, misappropriation or other violation of third-party IP rights, including patent rights, or misuse of third-party confidential information.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Claims alleging infringement, misappropriation or other violation of third-party IP rights can result in costly and time-consuming litigation</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(regardless of their validity or merit), require us to enter into royalty or licensing arrangements, subject us to damages or injunctions restricting the sale of our products, result in the invalidation of a patent or family of patents, require us to refund license fees to our customers or to forgo future payments or require us to redesign or rebrand certain of our products, any one of which could have a material adverse effect on our business, results of operations, financial condition and prospects.</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to the time and expense required for us to satisfy our support and indemnification obligations to our customers and partners, any litigation could severely disrupt or shut down the business of our customers and partners, which in turn could damage our relations with them and have a material adverse effect on our business, reputation,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involved in pending litigation.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We are involved in pending litigation, including, but not limited to, a lawsuit with Qualcomm Inc. and Qualcomm Technologies, Inc. (together “Qualcomm”) and Nuvia, Inc. (“Nuvia”). In addition, our products are involved in pending litigation to which we are not a party. We cannot provide you any assurances regarding how any such litigation will be resolved, what benefits we will obtain or what losses we might incur.</w:t>
      </w:r>
    </w:p>
    <w:p>
      <w:pPr>
        <w:spacing w:after="0" w:line="19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August 31, 2022, we sued Qualcomm and Nuvia in the U.S. District Court for the District of Delaware, on the basis that Qualcomm and Nuvia: (i)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and (ii) will infringe our trademarks when Qualcomm uses them in connection with the Nuvia technology subject to destruction under the Nuvia ALA. Our complaint seeks, among other things, specific performance of the Nuvia ALA termination provisions to require Qualcomm and Nuvia to stop using and to destroy the relevant Nuvia technology and to stop their improper use of our trademarks with their related products. We also seek declaratory judgment, injunctive relief and damages relating to Qualcomm’s and Nuvia’s breach of contract and infringement of our trademarks in connection with the relevant Nuvia technology. Qualcomm has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We and Qualcomm can amend our respective claims to seek additional or different relief as the proceedings progress. We can provide no assurances regarding the outcome of the litigation or how the litigation will affect our relationship with Qualcomm, which is currently a major customer of ours and accounted for 11% of our total revenue for the fiscal year ended March 31, 2023. This case is currently in the discovery phase, with trial set for September 2024, and will likely require significant legal expenditures going forward. It may also require substantial time and attention from our executives or employees, which could distract them from operating our business. In addition, our involvement in such litigation could cause us to incur significant reputational damage in the industry, in our relationship with Qualcomm or in our relationship with other third-party partners.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matters can be time-consuming, divert management’s attention and resources, cause us to incur significant expenses and lead to attempts on the part of other parties to pursue similar claims. Allegations made in the course of regulatory or legal proceedings may also harm our reputation, regardless of whether there is merit to such claims. Furthermore, because litigation and the outcome of regulatory proceedings are inherently unpredictable, our business, results of operations, financial condition and prospects could be materially adversely affected by an unfavorable resolution of one or more of these proceedings, claims, demands or investigations.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products have in the past and could have a substantial technical flaw or an undetected design error, which could result in unanticipated costs. Our products are used in billions of consumer and enterprise products across a wide range of industries, and many of these products are depended on by individuals and businesses. The discovery of any design defect, fault or bug associated with our products, as well as any ensuing litigation or claims for indemnification could adversely affect our reputation and our relationships with partners, thereby having a material adverse effect on our business, results of operations, financial condition and prospects. Any such defects, faults or bugs could cause us to lose customers, increase our service costs, subject us to liability for damages or divert our resources from other tasks, any one of which could materially and adversely affect our business, results of operations, financial condition and prospects. The ramifications of a design defect, fault, or bug may be further exacerbated by the fact that much of our products are based on a common architecture and our new architecture products often are based on legacy products. Accordingly, a design defect, fault, or bug may affect multiple end products that are based on the same products, thereby potentially exposing us to additional liability and requiring additional resources to remedy the error.</w:t>
      </w:r>
    </w:p>
    <w:p>
      <w:pPr>
        <w:spacing w:after="0" w:line="18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our software could contain errors, defects or bugs, especially when first introduced or when new versions are released. Product errors, including those resulting from third-party suppliers and open-source vendors, could affect the performance or interoperability of our products, could delay the development or release of new products or new versions of products and could adversely affect market acceptance or perception of the quality and attractiveness of our products. Any such errors or delays in releasing new products or new versions of products, or allegations of unsatisfactory performance, could cause us to lose customers, increase our service costs, subject us to liability for damages or divert our resources from other tasks, any one of which could materially and adversely affect our business, results of operations, financial condition and prospects.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Security vulnerabilities may be identified in our products, and it is possible that vulnerabilities may not be mitigated before they become known. Publicity related to any such security vulnerabilities, whether accurate or inaccurate, and any attempted or successful exploitation of such vulnerabilities, may cause increased third-party attempts to identify additional security vulnerabilities or could result in litigation, indemnification or other regulatory actions or inquiries, which could harm our brand and have an adverse effect on our business and results of operations and financial performance.</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Additionally, our products are used, and may be used in the future, in a variety of safety critical systems and equipment, including, but not limited to, autonomous vehicles, robotics, drones and medical equipment. Faults, security vulnerabilities or errors in such systems can result in harm to individuals, including loss of life. Any such fault, security vulnerability, or errors that may be attributed to our products, regardless of merit, could result in litigation, indemnification obligations or regulatory actions or inquiries, which could harm our brand and have a material adverse effect on our business, results of operations and financial performance.</w:t>
      </w:r>
    </w:p>
    <w:p>
      <w:pPr>
        <w:spacing w:after="0" w:line="296"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b w:val="1"/>
          <w:bCs w:val="1"/>
          <w:i w:val="1"/>
          <w:iCs w:val="1"/>
          <w:color w:val="auto"/>
        </w:rPr>
        <w:t>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p>
    <w:p>
      <w:pPr>
        <w:spacing w:after="0" w:line="5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collect, store and otherwise process certain personal, confidential and proprietary information in the operation of our business, including trade secrets, employee data and other sensitive data. Further, our third-party partners and customers regularly provide us with highly sensitive information, including details about their future product plans and roadmaps. Any unauthorized access to or disclosure of this information, whether inadvertent, malicious or as the result of a cyberattack, security breach or other similar incident, could have a material adverse effect on our third-party partners and customers, which may in turn result in significant damage to our reputation, business and operating results.</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Cyberattacks, including, but not limited to, ransomware events, computer viruses or other malware, phishing attacks, denial of service attacks, illegal hacking and credential stuffing, or other malicious attempts to compromise and/or interrupt the operation of information technology systems continue to increase in frequency, magnitude and sophistication. These increasing threats are being driven by a variety of sources, including nation-state sponsored espionage and hacking activities, industrial espionage, organized crime, sophisticated organizations and hacking by groups and individuals. These sources can also implement social engineering techniques to induce our third-party partners, users, employees or customers to disclose passwords or other sensitive information or take other actions to gain access to our or our third-party partners’ data or our users’ data. Techniques used to obtain unauthorized access to, or to sabotage, systems or networks are constantly evolving and may not be recognized until launched against a target. Therefore, we may be unable to anticipate these techniques, react in a timely manner, or implement adequate preventive measures, and we may face delays in our detection or remediation of, or other responses to, such cyberattacks, security breaches and other similar incidents. Geopolitical instability, such as the war between Russia and Ukraine, may increase the likelihood that we or our third-party partners and customers could experience direct or collateral consequences from cyber conflicts between nation-states or other politically motivated actors targeting critical technology infrastructure. As we increase our customer base and our brand becomes more widely known and recognized, and as our products are used in more heavily regulated industries where there may be a greater concentration of sensitive and protected data, such as healthcare, government, life sciences and financial services, we and our third-party partners may become more of a target for these malicious third parties.</w:t>
      </w:r>
    </w:p>
    <w:p>
      <w:pPr>
        <w:spacing w:after="0" w:line="17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Cyberattacks, security breaches or other similar incidents with respect to our information technology systems or those of our third-party partners could result in unauthorized access to, or misappropriation, disclosure, modification, misuse, loss, destruction or theft of, personal, confidential and proprietary information belonging to us or our employees, third-party partners, customers or suppliers, or cause a significant disruptive effect on our services, which could result in us, our third-party partners or our customers suffering significant financial or reputational damage and potential third-party legal action. If our security measures are, or are believed to be, inadequate or breached as a result of third-party action, employee negligence, error or malfeasance, fraud, product defects, accidental technological failure, social engineering techniques, improper user configuration or otherwise, and this results in, or is believed to result in, actual disruption of the confidentiality, integrity or availability of our data or our third-party partners’ and customers’ data, or otherwise causes a significant disruptive effect on our services, we could incur significant liability to various parties, including our third-party partners and customers, and to individuals or organizations whose information is being stored by us, our third-party partners or our customers. Further, such information and data being stored in foreign jurisdictions, could lead to us being required to disclose or provide access to data or IP to a foreign government pursuant to national security or other laws of such foreign jurisdiction. Any perceived or actual violation of security, data protection and/or reporting obligations under relevant privacy and data protection laws, regulations, rules, standards and other obligations could also result in regulatory inquiries, investigations and enforcement actions, fines and/or legal action. We incur significant costs in an effort to detect and prevent cyberattacks, security breaches and other similar incidents, and we may face increased costs and be required to expend substantial resources in the event of an actual or perceived cyberattack, security breach or other similar incident. While we and our third-party partners and customers have experienced cyberattacks, including attempts to breach our information technology systems, and may experience cyberattacks in the future, as of the date of this prospectus, there have been no material breaches of our information technology systems. We can provide no assurances that we will not experience material breaches of our information technology systems in the future or that our third-party partners and customers will not experience breaches of their information technology systems in the future that are material to us.</w:t>
      </w:r>
    </w:p>
    <w:p>
      <w:pPr>
        <w:spacing w:after="0" w:line="16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Additionally, our vendors or service providers may suffer, or be perceived to suffer, cyberattacks, security breaches or other similar incidents that may compromise data stored or processed for us, which may also give rise to any of the foregoing. Our ability to monitor our vendors’ and service providers’ data security is limited, and, in any event, third parties may be able to circumvent those security measures, resulting in the unauthorized access to, or misuse, disclosure, loss, acquisition, modification, unavailability, destruction or other processing of,</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and our customers’ data. If our vendors or service providers suffer cyberattacks, security breaches or other incidents, we may be unable to perform essential functions to operate our business. Moreover, to the extent any of our IP is compromised as a result of a security breach and we are not promptly made aware of such breach, we may incorporate compromised IP in our products, thereby making our products vulnerable to future cyberattacks, security breaches or other similar incidents.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cannot ensure that any limitations of liability in our agreements with customers, third-party partners, service providers and other third parties with which we do business would be enforceable or adequate or would otherwise protect us from any liabilities or damages with respect to any particular claim in connection with a cyberattack, security breach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 Any of the foregoing may cause our business to suffer and our reputation or competitive position to be damaged, which may have a material adverse effect on our business, results of operations, financial condition and prospects.</w:t>
      </w:r>
    </w:p>
    <w:p>
      <w:pPr>
        <w:spacing w:after="0" w:line="303"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b w:val="1"/>
          <w:bCs w:val="1"/>
          <w:i w:val="1"/>
          <w:iCs w:val="1"/>
          <w:color w:val="auto"/>
        </w:rPr>
        <w:t>Any failure, interruption, disruption, damage or outage with respect to our information technology systems, including or due to an inability to operate our disaster recovery plans to adequately mitigate the effects of such, could adversely affect our reputation, operations and financial condition.</w:t>
      </w:r>
    </w:p>
    <w:p>
      <w:pPr>
        <w:spacing w:after="0" w:line="7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business depends on the efficient and uninterrupted operation of our computer and communications software and hardware systems and other information technology. If such information technology systems were to fail for any reason or if we were to experience any unscheduled downtimes, even for only a short period, our reputation, operations and financial results could be adversely affected. Our information technology systems could be damaged or interrupted by earthquakes, fire, floods, hurricanes, power loss, telecommunications failure, break-ins, acts of vandalism or similar events. In addition, our information technology systems could be damaged or interrupted as a result of potential cyberattacks, such as ransomware events, malware, phishing attacks, insider threats, viruses, or any other malicious attempts to compromise and/or interrupt the operation of our information technology systems, or security breaches and other similar incidents.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w:t>
      </w:r>
    </w:p>
    <w:p>
      <w:pPr>
        <w:spacing w:after="0" w:line="166"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The formal disaster recovery plans we have in place may not be successful in preventing delays or other complications that could arise from information technology systems failure and, if they are not successful, our business interruption insurance may not adequately compensate us for all losses that may occur and have a material adverse effect on our business, results of operations, financial condition and prospects.</w:t>
      </w:r>
    </w:p>
    <w:p>
      <w:pPr>
        <w:spacing w:after="0" w:line="2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Claims may be made for which we do not have adequate insurance, which could have a material adverse effect on our results of operations, cash flows and financial condition.</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recent years, the insurance industry has faced unprecedented and escalating global events compounded by international economic uncertainty. As a result of these and other pressures, many insurers have withdrawn from certain market sectors and certain available insurance has become costly to procure, renew or maintain. We currently have global insurance policies, including coverage for the following significant risks (all of which are subject to certain important scope limitations, exceptions and company/deductible arrangements): property damage, business interruption, employee liability, public and products liability, directors’ and officers’ liability, and cybersecurity and technology-related losses. We do not insure against claims concerning patent litigation or other IP infringement claims and potential related indemnification obligations, because we are of the view that any limited coverage that could be obtained would be prohibitively expensive. Our business, results of operations, financial condition and prospects could be materially adversely affected by the occurrence of a catastrophic event, to the extent that any resulting loss or claim was not covered under the terms of our then existing insurance policies.</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Foreign exchange fluctuations could have a material adverse effect on our business, results of operations, financial condition and prospects.</w:t>
      </w:r>
    </w:p>
    <w:p>
      <w:pPr>
        <w:spacing w:after="0" w:line="14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Although a substantial majority of our revenues, as well as a significant proportion of our assets and liabilities, are denominated in U.S. dollars, certain of our costs are denominated in British pounds sterling and a number of other currencies, such as the euro and Indian rupee. Consequently, our results of operations have been, and are likely to continue to be, affected by changes in the relative value of the various currencies in which our revenues, costs, assets and liabilities are denominated, and especially the U.S. dollar to British pound sterling exchange rate, as well as the exchange rates to the euro and Indian rupee, may have a material impact on our reported results of operations and financial condition. To manage our exposure, we may engage in the use of financial derivatives or currency hedging transactions, although such activities may not cover all of our exposure, may be costly and may also expose us to counterparty risk. Despite hedging and other mitigating techniques implemented by us, fluctuations in exchange rates have in the past and may in the future have a material adverse effect on our business,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could suffer significant damage to our brand and reputation, which could harm our competitive position, results of operations and prospects.</w:t>
      </w:r>
    </w:p>
    <w:p>
      <w:pPr>
        <w:spacing w:after="0" w:line="15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brand and reputation are critical factors in our relationships with customers, employees, governments, suppliers, and other stakeholders. Our failure to address, or the appearance of our failure to address, issues that give rise to reputational risk, including those described throughout this “Risk Factors” section, could significantly harm our brand and reputation. Our reputation can be impacted by catastrophic events, incidents involving unethical behavior or misconduct, product quality, security, or safety issues, allegations of legal noncompliance, internal control failures, corporate governance issues, data breaches, workplace safety incidents, environmental issues, the use of our products for illegal or objectionable applications, including AI and ML or military applications that present ethical, regulatory, or other issues, marketing practices, media statements, the conduct of our suppliers or representatives, and other issues, incidents, or statements that, whether actual or perceived, result in adverse publicity. To the extent we fail to respond quickly and effectively to address corporate crises and other threats to our brand and reputation, the ensuing negative public reaction could significantly harm our brand and reputation, which could result in loss of trust from our customers, third-party partners and employees and could lead to an increase in litigation claims and asserted damages or subject us to regulatory actions or restrictions.</w:t>
      </w:r>
    </w:p>
    <w:p>
      <w:pPr>
        <w:spacing w:after="0" w:line="168"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In addition, our brand and reputation may be damaged by the actions of third parties that are imputed to us. For example, although Arm China operates independently of us, Arm China uses our trademarks in its marketing and branding. To the extent that Arm China’s actions are imputed to us due to Arm China’s use of our trademarks, our own brand and reputation may suffer significant damage.</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Damage to our brand and reputation could reduce demand for our products and adversely affect our business, operating environment and the trading price of our securities. Damage to our reputation may also make us less attractive to current and prospective employees relative to our competitors, particularly given the intensely competitive market for highly skilled employees. Moreover, repairing our brand and reputation may be difficult, time-consuming, and expensive. The heightened competitive pressures could result in a loss of customers or a reduction in revenues or revenue growth rates, all of which could adversely affect our business, results of operations, financial condition and prospects.</w:t>
      </w:r>
    </w:p>
    <w:p>
      <w:pPr>
        <w:spacing w:after="0" w:line="284"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Increasing scrutiny and evolving expectations from customers, partners, regulators, investors, and other stakeholders with respect to our environmental, social and governance (“ESG”) practices may impose additional costs on us, expose us to new or additional risks, or harm our reputation.</w:t>
      </w:r>
    </w:p>
    <w:p>
      <w:pPr>
        <w:spacing w:after="0" w:line="7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Companies are facing increasing scrutiny from customers, partners, regulators, investors, and other stakeholders related to ESG practices and disclosure, including environmental stewardship, social responsibility,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diversity and inclusion, racial justice and workplace conduct.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negative investor sentiment toward us, which could have a negative impact on the trading price of our securities and our access to and costs of capital. Increased ESG 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the trading price of our securities. New government regulations could also result in new or more stringent forms of ESG oversight and expanding mandatory and voluntary reporting, diligence, and disclosure.</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established corporate social responsibility programs aligned with sound ESG principles. These programs reflect our current initiatives and are not guarantees that we will be able to achieve them. Our ability to successfully execute these initiatives and accurately report our progress presents numerous operational, financial, legal, reputational and other risks, many of which are outside our control, and all of which could have a material negative impact on our business. Additionally, the implementation of these initiatives imposes additional costs on us. If our ESG initiatives fail to satisfy investors, customers, partners and our other stakeholders, our reputation, our ability to license our products to customers, our ability to attract or retain employees, and our attractiveness as an investment, business partner or acquirer could be negatively impacted. Similarly, our failure or perceived failure to pursue or fulfil our goals, targets and objectives or to satisfy various reporting standards within the timelines we announce, or at all, could also have similar negative impacts and expose us to government enforcement actions and private litigation. See “Business—Environmental, Social and Governance” for additional information regarding our corporate social responsibility programs.</w:t>
      </w:r>
    </w:p>
    <w:p>
      <w:pPr>
        <w:spacing w:after="0" w:line="27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4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will be required to comply with the management certification requirements of Section 404 of the Sarbanes-Oxley Act of 2002 (the “Sarbanes-Oxley Act”) in our annual report on Form 20-F for our first annual report that is filed with the SEC (subject to any change in applicable SEC rules). We will be required to comply with Section 404 in full (including an auditor attestation on management’s internal controls report) in our annual report on Form 20-F for the year following our first annual report required to be filed with the SEC (subject to any change in applicable SEC rules). As a public company, we will be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spacing w:after="0" w:line="18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material weakness identified for the fiscal years ended March 31, 2022 and 2021 relates to information technology general controls over information systems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in the fiscal year ended March 31, 2023, we developed and began a remediation plan that includes the following activities: (i) improving controls over access rights management, including reviews of current access rights, user roles and access management procedures, (ii) the removal of excessive access rights to ensure that we adequately restrict user access to our financial applications to appropriate company personnel, (iii) expanding change management control procedures for our information systems, and</w:t>
      </w:r>
    </w:p>
    <w:p>
      <w:pPr>
        <w:spacing w:after="0" w:line="2" w:lineRule="exact"/>
        <w:rPr>
          <w:sz w:val="20"/>
          <w:szCs w:val="20"/>
          <w:color w:val="auto"/>
        </w:rPr>
      </w:pPr>
    </w:p>
    <w:p>
      <w:pPr>
        <w:ind w:left="120" w:hanging="4"/>
        <w:spacing w:after="0" w:line="260" w:lineRule="auto"/>
        <w:tabs>
          <w:tab w:leader="none" w:pos="4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engaging external experts to support the evaluation, testing and enhancement of our internal controls relating to our information technology systems. We will not be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able to fully remediate this material weakness until these steps have been completed and have been operating effectively for a sufficient period of time. The actions that we are taking are subject to ongoing review by our executive management and will be subject to the oversight of our audit committee. Although we intend to complete this remediation process as quickly as practicable, we provide no assurances with respect to the timeline for implementing effective remedial measures, and our initiatives may not prove to be successful in remediating the material weakness or preventing additional material weaknesses or significant deficiencies in our internal control over financial reporting in the future. The costs of the remediation efforts to date have not been material, and we do not currently anticipate any material cash requirements in connection with future remediation efforts.</w:t>
      </w:r>
    </w:p>
    <w:p>
      <w:pPr>
        <w:spacing w:after="0" w:line="16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and enhancing our internal controls and procedures and hiring additional accounting or internal audit staff.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if we are required to make restatements of our financial statements, or if our independent registered public accounting firm is unable to express an opinion as to the effectiveness of our internal control over financial reporting, investors may lose confidence in our operating results, the price of our ADSs could decline and we may be subject to litigation or regulatory enforcement actions. In addition, if we are unable to meet the requirements of Section 404, we may not be able to remain listed on Nasdaq.</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Government Regulation and Legal Compliance</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in international jurisdictions and we may be negatively impacted by export restrictions and trade barriers.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headquarters are in the U.K., and we currently also have operations in various jurisdictions around the world, including the U.S., the PRC, India, Canada, South Africa and Europe. We may in the future expand our operations either within these jurisdictions or to new jurisdictions. Risks associated with these international operations include exposure to political, economic and financial conditions and expected and unexpected changes in legal and regulatory environments. We may, from time to time, enter into strategic partnerships, joint ventures or similar business relationships with entities in foreign jurisdictions, including governmental or quasi-governmental entities, pursuant to which we may be required to license or transfer certain of our IP rights to such entities. Such relationships could expose us to increased risks inherent in such activities, such as protection of our IP, economic and political risks, and contractual enforcement issues. In addition, we could face potentially adverse tax consequences from our international expansion, changes in our international operations or changes in tax laws in any of the multiple jurisdictions in which we operate. Managing operations in multiple jurisdictions also places further strain on management’s time and our ability to manage overall growth. These risks could have a material adverse effect on our business, results of operations, financial condition and prospects.</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We are subject to governmental export and import requirements that could subject us to liability or restrict our ability to license our products. If the U.S. Department of Commerce were to broaden U.S. export restrictions on foreign-origin items, whether through changes to the level of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U.S.-origin content that would make a non-U.S.-made product subject to the U.S. Export Administration Regulations (“EAR”), known as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rule, or through changes to the foreign direct product rules under the EAR, these expanded restrictions would subject more of our products to U.S. export controls and impose export restrictions on the licensing and delivery of impacted items to certain customers and trading partners. Furthermore, if the U.S. Government implemented expanded economic sanctions on specific countries or regions, that could impact our portfolio. For instance, the U.S. has published significant changes to export sanctions regulations with respect to Russia and the PRC, and we anticipate additional changes to such regulations in the future. In October 2022, the U.S.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Government implemented export controls on advanced computing chips, computer commodities that contain such chips, and certain semiconductor manufacturing items, as well as controls on transactions involving items for supercomputer and semiconductor manufacturing end-uses. The new controls expand the scope of items subject to license requirements for certain entities on the U.S. Government’s Entity List (as defined below).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 For instance, given U.S. and U.K. trade and national security policies regarding exports of technology with potential military uses, it is unlikely that we would be able to obtain a U.S. or U.K. export license for certain high performance compute cores in the Neoverse series processor family. This and any similar limitations could also reduce our revenues and cause significant uncertainty in our products roadmap, which could have an adverse effect on our business, results of operations, financial condition and prospects.</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addition, if other countries, particularly the U.K., were to adopt export control rules similar to the U.S., or make existing rules more onerous, this could have a material adverse effect on our business, results of operations, financial condition and prospects.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trade relations between countries where we do business or where our customers have end customers has recently been volatile. For example, the U.S. Government has imposed export sanctions on certain trading partners and entities which impact the cross-border transfer of technology and software products and announced new licensing requirements which impact exports of some of our customer’s ICs and certain related items. These measures may increase costs and/or reduce distribution in key markets. This in turn could require us to increase prices to our customers which may reduce demand, or, if we are unable to increase prices to adequately address any restrictions, it could result in lower margins on products sold or fewer products sold, which would reduce royalties. Changes in U.S. trade policy have resulted in, and could result in more, U.S. trading partners adopting responsive trade policies, including imposition of increased tariffs, quotas or duties, or imposition of technology or financial sanctions or controls, making it more difficult or costly for us to export our products to those countries. The implementation of a border tax, tariff or higher customs duties on products of our customers or their end customers manufactured outside of the U.S. or components that our customers or their end customers import into the U.S., or any potential corresponding actions by other countries in which our customers or their end customers do business, could negatively impact our financial performance and/or ability to protect our IP. Such developments could also result in a decrease in the demand for or injunctions on the products of our customers or their end customers, which would reduce our royalties and have an adverse effect on our revenues and profitability and thereby on or business, results of operations, financial condition and prospects. See “—Risks Relating to Our Business and Industry— Our concentration of revenue from the PRC market makes us particularly susceptible to economic and political risks affecting the PRC, which could be exacerbated by tensions between the U.S. and the PRC with respect to trade and national security.”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comply with, and changes in, governmental laws and regulations could harm our business.</w:t>
      </w:r>
    </w:p>
    <w:p>
      <w:pPr>
        <w:spacing w:after="0" w:line="11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Our business is subject to regulation by various governmental agencies, including, but not limited to, such agencies in the U.K., the European Union, the U.S. and the PRC. These laws and regulations affect our activities in areas including, but not limited to, labor, telecommunications,</w:t>
      </w:r>
    </w:p>
    <w:p>
      <w:pPr>
        <w:ind w:left="120" w:right="80"/>
        <w:spacing w:after="0" w:line="288" w:lineRule="auto"/>
        <w:rPr>
          <w:sz w:val="20"/>
          <w:szCs w:val="20"/>
          <w:color w:val="auto"/>
        </w:rPr>
      </w:pPr>
      <w:r>
        <w:rPr>
          <w:rFonts w:ascii="Arial" w:cs="Arial" w:eastAsia="Arial" w:hAnsi="Arial"/>
          <w:sz w:val="16"/>
          <w:szCs w:val="16"/>
          <w:color w:val="auto"/>
        </w:rPr>
        <w:t>IP ownership and infringement, tax, economic sanctions, import and export requirements and controls, anti-corruption, national security and foreign investment, foreign exchange controls and cash repatriation restrictions, privacy and data protection (such as the European Union General Data Protection Regulation (“GDPR”), the U.K. General Data Protection Regulation (“U.K. GDPR”), and the California Consumer Privacy Act as amended by the California Privacy Rights Act (collectively, “CCPA”)), security and cybersecurity, and anti-competition, environmental, health and safety, financial reporting and the certification requirements associated with public sector contracts. These laws, regulations and orders are complex, may change frequently and with limited notice, and many have become more stringent and have intensified over time, especially in light of continuing tensions between the U.S. and the PRC and sanctions on Russia and individual Russians as a result of the ongoing war in Ukraine.</w:t>
      </w:r>
    </w:p>
    <w:p>
      <w:pPr>
        <w:spacing w:after="0" w:line="1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9" w:right="5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Retained EU Law (Revocation and Reform) Act 2023, enacted on June 29, 2023 has the effect that certain rights derived from European Union law will by default (that is, absent the exercise of a regulation-making power to restate or reproduce such rights in U.K. domestic law) cease to be recognized after December 31, 2023. As a result, rights derived from European Union law would cease to restrict the application of the rules providing for the 1.5% U.K. stamp duty or SDRT charge which may impact on the issue or transfer of our ordinary shares to, or appropriation of our ordinary shares by, a depositary receipt system (such as that operated by the depositary) or a clearance service (such as that operated by DTC). The extent to which rights derived from European Union law will be restated or reproduced in U.K. domestic law before that date is currently unclear. Any divergence between U.K. law and European Union law (as a result of the Retained EU Law (Revocation and Reform) Act 2023) may increase the burden of our associated compliance costs.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Compliance with these laws, regulations and similar requirements may be onerous, expensive and time consuming. Laws and regulations are often inconsistent from jurisdiction to jurisdiction, further increasing the cost and complexity of compliance. We have implemented policies and procedures designed to ensure compliance with applicable laws and regulations, but there can be no assurance that our employees, contractors, or agents will not violate such laws and regulations or our policies and procedures. In addition, inadequate systems and processes have in the past and could in the future result in non-compliance with applicable laws and regulations (and this can be particularly challenging in complex areas such as licensing and export controls). We may be required to incur significant expense to remedy violations of these laws and regulations.</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if our customers fail to comply with these regulations, we may be required to suspend sales to these customers, which could damage our reputation and negatively impact our results of operations. For example, the Bureau of Industry and Security (“BIS”), of the U.S. Department of Commerce, maintains and frequently updates the “Entity List,” which limits our ability to deliver products and services to these entities, some of which are our customers. On May 16, 2019, the BIS added Huawei Technologies Co., Ltd. and certain of its affiliated entities to BIS’s Entity List, which imposes limitations on the supply of certain U.S. items and product support to Huawei and certain of its affiliated entities. Huawei remains on the Entity List, and in the absence of a license from BIS, we may be unable to work with Huawei and certain of its affiliated entities on certain U.S. items and technology, which may have a negative effect on our ability to sell those U.S. items and technology in the future. Anticipated or actual changes in trade restrictions could also affect customer purchasing behaviors.</w:t>
      </w:r>
    </w:p>
    <w:p>
      <w:pPr>
        <w:spacing w:after="0" w:line="17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Non-compliance with applicable laws, regulations or requirements could subject us to investigations, sanctions, enforcement actions, disgorgement of profits, fines, damages, civil and criminal penalties, or injunctions. If any governmental sanctions are imposed, or if we do not prevail in any possible civil or criminal litigation, our business, results of operations, financial condition and prospects could be materially adversely affected and our reputation and brand could be damaged. In addition, responding to any action will likely result in a significant diversion of management’s attention and resources and an increase in professional fees.</w:t>
      </w:r>
    </w:p>
    <w:p>
      <w:pPr>
        <w:spacing w:after="0" w:line="296" w:lineRule="exact"/>
        <w:rPr>
          <w:sz w:val="20"/>
          <w:szCs w:val="20"/>
          <w:color w:val="auto"/>
        </w:rPr>
      </w:pPr>
    </w:p>
    <w:p>
      <w:pPr>
        <w:ind w:left="120" w:right="520"/>
        <w:spacing w:after="0" w:line="375" w:lineRule="auto"/>
        <w:rPr>
          <w:sz w:val="20"/>
          <w:szCs w:val="20"/>
          <w:color w:val="auto"/>
        </w:rPr>
      </w:pPr>
      <w:r>
        <w:rPr>
          <w:rFonts w:ascii="Arial" w:cs="Arial" w:eastAsia="Arial" w:hAnsi="Arial"/>
          <w:sz w:val="15"/>
          <w:szCs w:val="15"/>
          <w:b w:val="1"/>
          <w:bCs w:val="1"/>
          <w:i w:val="1"/>
          <w:iCs w:val="1"/>
          <w:color w:val="auto"/>
        </w:rPr>
        <w:t>Actual or perceived failures to satisfy data protection, security, privacy or other laws, regulations, rules, standards and other government- and industry-specific obligations could adversely affect our business, results of operations, financial condition and reputation.</w:t>
      </w:r>
    </w:p>
    <w:p>
      <w:pPr>
        <w:spacing w:after="0" w:line="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Privacy and data protection has become a significant issue in the U.K., the U.S., the European Union and in many other jurisdictions where we operate and where the chips and end products incorporating our products are offered. The regulatory framework for privacy and data protection issues worldwide is rapidly evolving and is likely to remain uncertain for the foreseeable future, which could expose us to further regulatory burdens. Many government bodies and agencies, including in the U.K., the European Union and the U.S., have adopted or are considering adopting or modifying laws and regulations addressing privacy and data protection, including the collection, storage, transfer, use and other processing of personal information. In some cases, privacy and data protection laws, regulations and rules impose obligations directly on us as both a data controller and a data</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processor (or the equivalents thereof), as well as on many of our customers. Certain jurisdictions have also enacted data localization laws mandating that certain types of data collected in a particular country be stored and/or processed primarily within that country. Laws, regulations and rules relating to privacy and data protection continue to evolve in various jurisdictions, with existing laws, regulations and rules subject to new and differing interpretations and new laws, regulations and rules being proposed and adopted. It is possible that our practices may be deemed not to comply with those privacy and data protection legal requirements that apply to us now or in the future.</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European Union and in the U.K., we are subject to the GDPR and the U.K. GDPR, respectively, which impose stringent obligations regarding the collection, control, use, sharing, disclosure and other processing of personal data. Failure to comply with the GDPR or the U.K. GDPR can result in significant fines and other liability, including fines of up to €20 million (or £17.5 million under the U.K. GDPR) or four percent (4%) of annual global revenue, whichever is greater. European data protection authorities have already imposed fines for GDPR violations up to, in some cases, hundreds of millions of euros. While the U.K. GDPR currently imposes substantially the same obligations as the GDPR, the U.K. GDPR will not automatically incorporate changes to the GDPR going forward (which would need to be specifically incorporated by the U.K. government), which creates a risk of divergent parallel regimes and related uncertainty. For example, in 2021, the European Commission announced an adequacy decision concluding that the U.K. ensures an equivalent level of data protection to the GDPR, which provides some relief regarding the legality of continued personal data flows from the European Economic Area (“EEA”) to the U.K. This adequacy determination will automatically expire in June 2025 unless the European Commission renews or extends it and may be modified or revoked in the interim. We cannot predict how the U.K. GDPR and other U.K. privacy and data protection laws, regulations or rules may develop, including as compared to the GDPR, nor can we predict the effects of divergent laws and related guidance. Moreover, the U.K. government has publicly announced plans to reform the U.K. GDPR in ways that, if formalized, are likely to create a risk of divergent parallel regimes and related uncertainty, along with the potential for increased compliance costs and risks for affected business.</w:t>
      </w:r>
    </w:p>
    <w:p>
      <w:pPr>
        <w:spacing w:after="0" w:line="17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addition, ongoing legal challenges in Europe to the mechanisms allowing companies to transfer personal information from the EEA to outside the EEA (including the U.S.) could result in further limitations on the ability to transfer data across borders, particularly if governments are unable or unwilling to reach new agreements that support cross-border data transfers. While the European Commission announced in March 2022 that an agreement in principle had been reached between European Union and U.S. authorities regarding a new transatlantic data privacy framework, no formal agreement has been finalized, and any such agreement, if formalized, is likely to face challenge at the Court of Justice of the European Union.</w:t>
      </w:r>
    </w:p>
    <w:p>
      <w:pPr>
        <w:spacing w:after="0" w:line="16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Further, our business may be affected by laws, regulations, rules and standards aimed at regulating the use of personal information for marketing purposes, the tracking of the online activities of individuals and the regulation of machine-to-machine communications. For example, the European Union’s proposed ePrivacy Regulation, which is still being negotiated, may impose burdensome requirements around obtaining consent and impose fines for violations that are materially higher than those imposed under the European Union’s current ePrivacy Directive and related EU member state legislation. Compliance with these laws, regulations, rules and standards may limit the effectiveness of our marketing activities and subject us to liabilities.</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the U.S., we are subject to various federal, state and local privacy and data protection laws, rules, and regulations governing the collection, sharing, use, retention, disclosure, security, transfer, storage and other processing of personal information. For example, at the state level, we are subject to the CCPA, which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Numerous other states also have enacted, or are in the process of enacting or considering, comprehensive state-level privacy and data protection laws, rules and regulations that share similarities with the CCPA, with at</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least four such laws (in Virginia, Colorado, Connecticut and Utah) having taken effect, or scheduled to take effect, in 2023. Additionally, laws in all 50 U.S. states require businesses to provide notice to residents whose personal information has been disclosed as a result of a data breach. Moreover, there is discussion in Congress of a new comprehensive federal privacy and data protection law to which we would become subject if it is enacted.</w:t>
      </w:r>
    </w:p>
    <w:p>
      <w:pPr>
        <w:spacing w:after="0" w:line="14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Moreover, we make public statements about our collection, use, disclosure and other processing of personal information through our privacy policies and information on our website. Although we endeavor to comply with our public statements and documentation, we may at times fail to do so or be alleged to have failed to do so. The publication of our privacy policies and other statements that provide promises and assurances about privacy and data protection can subject us to potential government or legal action if they are found to be deceptive, unfair or misrepresentative of our actual practices. Any concerns about our privacy and data protection practices, even if unfounded, could damage our reputation and adversely affect our business.</w:t>
      </w:r>
    </w:p>
    <w:p>
      <w:pPr>
        <w:spacing w:after="0" w:line="192"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Although we monitor the regulatory environment and have invested in addressing new developments, we may be required to make additional changes to our services and business practices to enable us and our customers to comply with applicable laws, regulations, rules, standards and other obligations. Evolving regulatory and legal obligations may also increase our potential liability exposure through higher potential penalties for non-compliance. Laws, regulations, rules, standards and other obligations relating to privacy and data protection are subject to differing interpretations and may be inconsistent among jurisdictions, thereby making compliance with such obligations challenging. Revising our services and business practices to comply with these requirements could reduce demand for our services, require us to take on more onerous obligations in our contracts, or restrict our ability to store, transfer and otherwise process data or, in some cases, impact our ability or our customers’ ability to offer our services in certain locations, to deploy our products, to reach current and prospective customers, or to derive insights from customer data globally.</w:t>
      </w:r>
    </w:p>
    <w:p>
      <w:pPr>
        <w:spacing w:after="0" w:line="16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cannot assure you that any third-party partners with access to our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regulations, rules, standards and other obligations, which could in turn adversely affect our business, results of operations and financial condition. We cannot assure you that our contractual measures and our own privacy and data protection-related safeguards will protect us from the risks associated with the third-party processing, storage and transmission of such information. Increasing use of social media could also give rise to liability, breaches of data security or reputational damage.</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failure or perceived failure to comply with any applicable privacy or data protection laws, regulations, rules, standards or other obligations could result in increased costs for our products, monetary penalties, damage to our reputation, government and regulatory inquiries, investigations and enforcement actions, fines or legal action. Additionally, if our customers, third-party partners, vendors or developers violate applicable laws, regulations, rules or standards, or our policies or other privacy or security-related obligations, such violations may also put the information of our customers, suppliers, third-party partners or employees at risk and could in turn have an adverse effect on our business.</w:t>
      </w:r>
    </w:p>
    <w:p>
      <w:pPr>
        <w:spacing w:after="0" w:line="176"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privacy and data protection and may cause our customers or their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products. Any of the foregoing could have a material adverse effect on our business, results of operations, financial condition and prospects.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operations are subject to the U.K. Bribery Act 2010 (the “Bribery Act”), the U.S. Foreign Corrupt Practices Act (the “FCPA”), and other applicable anti-corruption laws in countries where we do business and may do business in the future. These anti-corruption laws generally prohibit us, our officers, our employees, affiliates, agents and intermediaries from offering or paying bribes, requesting or accepting bribes, or making other prohibited payments to government officials or other persons to obtain or retain business or gain some other business advantage. Under the Bribery Act, we may also be liable for failing to prevent a person associated with us from committing a bribery offense. We have operations in countries considered high risk for corruption, such as China and India, agreements and collaborations with third parties, interactions with government officials, and other business activities that could expose us to corruption risk. While we have compliance safeguards in place, it is possible that these safeguards prove insufficient, or that our employees, intermediaries, or other third-party business partners may engage in activities that subject us to liability under the Bribery Act, FCPA, or other anti-corruption laws. In addition, we cannot predict the nature, scope or effect of future regulatory requirements to which our international operations might be subject or the manner in which existing laws might be administered or interpreted. If we further expand our operations internationally, we will need to dedicate additional resources to comply with numerous laws and regulations in each jurisdiction in which we plan to operate.</w:t>
      </w:r>
    </w:p>
    <w:p>
      <w:pPr>
        <w:spacing w:after="0" w:line="17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If we are not in compliance with the Bribery Act, the FCPA and other anti-corruption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risks related to government contracts and related procurement regulations.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small portion of our revenue is derived from contracts with governmental entities, governmental subcontractors and public universities. Our contracts with such entities, including in the U.K., the European Union and the U.S., are subject to various regulations and other requirements relating to their formation, administration and performance. We may be subject to audits and investigations relating to government contracts, and any violations could result in various civil and criminal penalties and administrative sanctions, including termination of the contract, payment of fines or suspension or debarment from future government business. If we were to lose a significant number of government contracts, it would have an adverse impact on our results of operations.</w:t>
      </w:r>
    </w:p>
    <w:p>
      <w:pPr>
        <w:spacing w:after="0" w:line="300"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exposed to the risk of fraud or other misconduct by our employees, independent contractors, consultants and vendors. Misconduct by these partners could include intentional failures to comply with laws, standards, regulations, guidance or codes of conduct, provide accurate information to regulatory authorities, comply with manufacturing standards, report financial information or data accurately or disclose unauthorized activities to us. We may also be exposed to risks in connection with any insider trading violations by employees or others affiliated with us. It is not always possible to identify and deter employee misconduct, and the</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and prospects, including the imposition of significant fines or other sanctions and damage to our reputation.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Status as a Controlled Company and Foreign Private Issuer</w:t>
      </w:r>
    </w:p>
    <w:p>
      <w:pPr>
        <w:spacing w:after="0" w:line="121"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Immediately after the completion of this offering, SoftBank is expected to own approximately % of our outstanding ordinary shares and thus a majority of the total voting power of our ordinary shares. As a result of SoftBank’s ownership, after the completion of this offering, we will be a “controlled company” under the Nasdaq corporate governance standards.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Because we will qualify to be treated as a controlled company, we will have the option not to comply with certain requirements to which companies that are not controlled companies are subject, including the requirement that a majority of the Board of Directors consists of independent directors, the requirement that a majority of the independent directors select or recommend its director nominees, the requirement that the remuneration committee be responsible for determining or recommending the compensation of executive officers other than the Chief Executive Officer and the requirement that its remuneration committee be composed entirely of independent directors. Since we have elected to use certain of the controlled company exemptions, holders of our ADSs will not have the same protections afforded to stockholders of companies that are subject to these corporate governance requirements.</w:t>
      </w:r>
    </w:p>
    <w:p>
      <w:pPr>
        <w:spacing w:after="0" w:line="30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As long as SoftBank controls us, other holders of our ordinary shares and ADSs will have limited ability to influence matters requiring stockholder approval or the composition of our Board of Directors.</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Immediately after the completion of this offering, SoftBank is expected to own approximately % of our total issued and outstanding share capital. As a result, for so long as SoftBank and its respective affiliates hold shares representing a majority of the votes entitled to be cast by the holders of our outstanding ordinary shares at a shareholder meeting, SoftBank will generally have the ability to control the outcome of any matter submitted for the vote of our shareholders, except in certain limited circumstances as set forth in the Articles and the Companies Act.</w:t>
      </w:r>
    </w:p>
    <w:p>
      <w:pPr>
        <w:spacing w:after="0" w:line="17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so long as SoftBank and any of its controlled affiliates hold ordinary shares representing at least a majority of the votes entitled to be cast by the holders of our ordinary shares at a shareholder meeting, SoftBank will have the ability to control the election of all of the members of our Board of Directors. The directors elected by SoftBank will have the authority to make important decisions regarding our business, including decisions affecting our capital structure, such as the issuance of equity, the incurrence of indebtedness, the implementation of stock repurchase programs and the declaration of dividends.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SoftBank’s interests may conflict with our own interests and those of holders of our ADSs.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interests of SoftBank may not coincide with our own interests or the interests of holders of our ADSs. Because SoftBank will generally have the ability, subject to limitations in the Articles and the Companies Act, to control all matters submitted to our shareholders for approval, including the election of all of the members of our Board of Directors, other shareholders will have limited ability to influence corporate matters. As a result, SoftBank may cause us to take corporate actions, including engaging in transactions with SoftBank or affiliates of SoftBank, that members of our management or other shareholders do not view as beneficial, or that provide SoftBank with benefits at our expense. Such actions could have a material and adverse effect on our business, results of operations and the trading price of our ADSs.</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Disputes may arise between us and SoftBank or its affiliates in a number of areas, including relating to arrangements with third parties that are exclusionary to us or SoftBank or its affiliates and business opportunities that may be attractive to both us and SoftBank or its affiliates. Furthermore, disputes may arise between us and SoftBank or its affiliates with respect to Arm China. As of the date hereof, approximately 48% of the equity interest in Arm China is owned by Acetone Limited, which SoftBank controls and in which we own a 10% non-voting interest (representing an approximate</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4.8% indirect interest). We may not be able to resolve any potential conflicts with SoftBank and, even if we do, the resolution may be less favorable than if we were dealing with an unaffiliated party, which could have an adverse effect on our business, results of operations and the trading price of our ADSs.</w:t>
      </w:r>
    </w:p>
    <w:p>
      <w:pPr>
        <w:spacing w:after="0" w:line="19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some of our directors and officers currently, and in the future may, directly or indirectly own equity interests in SoftBank, and Mr. Son is also the Chairman and Chief Executive Officer of SoftBank and Mr. Haas is a director of SoftBank. In addition, Mr. Haas is party to an agreement pursuant to which he provides certain consulting services to SoftBank. Ownership of such equity interests by our directors and officers and the presence of Messrs. Son and Haas, as the chair of our Board of Directors and our Chief Executive Officer and a director, respectively, could create, or appear to create, conflicts of interest with respect to matters involving both us and any one of them, or involving us and SoftBank. Provisions of the Articles address corporate opportunities that are presented to our directors that are also directors or officers of SoftBank. We cannot assure you that the Articles will adequately address potential conflicts of interest or that potential conflicts of interest will be resolved in our favor or that we will be able to take advantage of corporate opportunities presented to individuals who are directors of both us and SoftBank. As a result, we may be precluded from pursuing certain advantageous transactions or growth initiatives.</w:t>
      </w:r>
    </w:p>
    <w:p>
      <w:pPr>
        <w:spacing w:after="0" w:line="18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Furthermore, regardless of the performance of our own business, SoftBank’s business, results of operations and the trading price of SoftBank’s securities may adversely affect the trading price of our ADSs. In addition, SoftBank is not restricted from competing with us or otherwise taking for itself or its other affiliates certain corporate opportunities that may be attractive to 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SoftBank’s ability to control all matters submitted to our shareholders may have the effect of delaying, preventing or deterring a change of control, which could deprive holders of our ADSs of an opportunity to receive a premium for their ADSs as part of a change of control, and might ultimately affect the fair market value of our ADSs.</w:t>
      </w:r>
    </w:p>
    <w:p>
      <w:pPr>
        <w:spacing w:after="0" w:line="184" w:lineRule="exact"/>
        <w:rPr>
          <w:sz w:val="20"/>
          <w:szCs w:val="20"/>
          <w:color w:val="auto"/>
        </w:rPr>
      </w:pPr>
    </w:p>
    <w:p>
      <w:pPr>
        <w:ind w:left="120" w:right="60" w:firstLine="440"/>
        <w:spacing w:after="0" w:line="267" w:lineRule="auto"/>
        <w:rPr>
          <w:sz w:val="20"/>
          <w:szCs w:val="20"/>
          <w:color w:val="auto"/>
        </w:rPr>
      </w:pPr>
      <w:r>
        <w:rPr>
          <w:rFonts w:ascii="Arial" w:cs="Arial" w:eastAsia="Arial" w:hAnsi="Arial"/>
          <w:sz w:val="17"/>
          <w:szCs w:val="17"/>
          <w:color w:val="auto"/>
        </w:rPr>
        <w:t>SoftBank has engaged, and may from time to time engage, in financing transactions involving our shares (including ADSs representing our shares), such as loans whereby our shares are pledged as security. We may be unable to influence the timing or terms of financing transactions by SoftBank involving our securities. For example, SoftBank is party to a non-recourse term loan facility described further under “Certain Relationships and Related Party Transactions” pursuant to which we have certain obligations. SoftBank has informed us that it (i) it intends to repay or refinance the term loan facility prior to, or substantially concurrently with, the completion of this offering, and (ii) at the time of such repayment or refinancing, our springing guarantee and indemnity will be terminated. The repayment or refinancing of the term loan facility and the release of our obligations thereunder is a condition to the closing of this offering. If SoftBank does not repay or refinance this facility, this offering will not close. We face various risks in connection with such transactions, which vary depending on the size and terms of such transaction and whether we are in turn party to any agreements in connection with any such transaction. Such financing transactions may contain provisions that, subject to their terms, require prepayment if certain events or circumstances occur, including certain change of control transactions or in the event the trading price of our ADSs declines below certain thresholds. From time to time, subject to certain requirements under the terms of any such financing transactions, SoftBank may consider it advisable to sell shares in order to finance the prepayment or repayment of such financings, which number of shares may, individually or in the aggregate, be significant. In addition, in connection with any such financings, if the price of our ADSs declines to certain levels, absent a repayment of the applicable financing, SoftBank may be required to provide additional collateral. In the case of non-payment at maturity or another event of default, the providers of such financing may, in addition to other remedies, exercise their rights to foreclose on and sell or cause the sale of our shares that may be pledged as collateral. If such shares are sold, such sales could cause the trading price of our ADSs to decline. Sales of our securities in connection with such financing transactions,</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whether by SoftBank or upon enforcement against collateral, could have a material and adverse effect on our business, results of operations, access to equity capital and the trading price of our ADSs.</w:t>
      </w:r>
    </w:p>
    <w:p>
      <w:pPr>
        <w:spacing w:after="0" w:line="27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SoftBank sells a controlling equity interest in our company to a third party in a private transaction, you may not realize any change-of-control premium on your ADSs and we may become subject to the control of a currently unknown third party.</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For so long as the U.K. City Code on Takeovers and Mergers (the “Takeover Code”) does not apply to us, SoftBank will have the ability, should it choose to do so, to sell some or all of its shares in a privately negotiated transaction, which, if sufficient in size, could result in a change of control of us. The ability of SoftBank to privately sell its shares, with no requirement for a concurrent offer to be made to acquire all of the ADSs that will be publicly traded following the completion of this offering, could prevent you from realizing any change-of-control premium on your ADSs that may otherwise accrue to SoftBank on its private sale of shares. In addition, if SoftBank privately sells its controlling equity interest or if a lender forecloses on a controlling interest pledged by SoftBank, we may become subject to the control of a currently unknown third party. The interests of this third party may not be the same as, or may conflict with, the interests of our other shareholders. Furthermore, if SoftBank sells a controlling equity interest in our company to a third party or a lender forecloses on a pledged controlling equity interest in our company, our future indebtedness may be subject to acceleration, and our other commercial agreements and relationships, including any remaining agreements with SoftBank, could be impacted. The occurrence of any of these events could adversely affect our business, results of operations, financial condition and prospects.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SoftBank’s ability to control our Board of Directors may make it difficult for us to recruit independent directors.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so long as SoftBank and its controlled affiliates hold our ordinary shares representing at least a majority of the votes entitled to be cast by the holders of our ordinary shares at a shareholder meeting, SoftBank will be able to elect all of the members of our Board of Directors. Under these circumstances, qualified and experienced persons who might otherwise accept an invitation to join our Board of Directors may decline, which means that we would not be able to benefit from their qualifications and expertise in service as members of our Board of Directors. See “Related Party Transactions.”</w:t>
      </w:r>
    </w:p>
    <w:p>
      <w:pPr>
        <w:spacing w:after="0" w:line="29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U.S. public companies.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 “foreign private issuer,” as defined in the SEC rules and regulations, and, consequently, we are not subject to all the disclosure requirements applicable to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a foreign private issuer, we will file an annual report on Form 20-F within four months of the close of each fiscal year ended March 31 and reports on Form 6-K relating to certain material events promptly after we publicly announce these events. However, because of the above exemptions for foreign private issuers, our shareholders will not be afforded the same protections or information generally available to investors holding shares in public companies organized in the U.S.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While we are a foreign private issuer, we may opt out of certain Nasdaq corporate governance rules applicable to public companies organized in the U.S.</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entitled to rely on a provision in Nasdaq’s corporate governance rules that allows us to follow English corporate law with regard to certain aspects of corporate governance. This allows us to follow certain corporate governance practices that differ in significant respects from the corporate governance requirements applicable to domestic issuers listed on Nasdaq, which may provide less protection to our shareholders than what is accorded to investors under the Nasdaq rules applicable to domestic issuers.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 within four business days of any determination to grant a waiver of the Code of Conduct to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shareholder approval for certain issuances of securities, including shareholder approval of share option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give the audit committee review and oversight responsibilities over all “related 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 regularly scheduled meetings of only the independent directors at least twice a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meetings of shareholders;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in the company’s bylaws or articles of association that a quorum for the shareholders’ meeting consists of at least 33 1/3% of the outstanding shares of the company’s voting common shares.</w:t>
      </w:r>
    </w:p>
    <w:p>
      <w:pPr>
        <w:spacing w:after="0" w:line="170"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accordance with Nasdaq listing rules, our audit committee is required to comply with the provisions of Section 301 of the Sarbanes-Oxley Act and Rule 10A-3 of the Exchange Act, both of which are also applicable to Nasdaq-listed U.S. companies. Because we are a foreign private issuer, however, our audit committee is not subject to additional requirements applicable to Nasdaq-listed U.S. companies, including an affirmative determination that all members of the audit committee are “independent,” using more stringent criteria than those applicable to us as a foreign private issuer, subject to certain phase-in requirements permitted by Rule 10A-3 of the Exchange Act. See “Management and Executive Remuneration— Foreign Private Issuer Exemption.”</w:t>
      </w:r>
    </w:p>
    <w:p>
      <w:pPr>
        <w:spacing w:after="0" w:line="30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required to test our foreign private issuer status at the end of our second fiscal quarter in each fiscal year after the completion of this offering. If we were no longer a foreign private issuer, we would be required to comply with all of the periodic disclosure and current reporting requirements of the Exchange Act applicable to U.S. domestic issuers as of April 1, 2025. In order to maintain our current status as a foreign private issuer, either (a) a majority of our securities must be either directly or indirectly owned of record by nonresidents of the U.S. or (b)(i) a majority of our executive officers or directors cannot be U.S. citizens or residents, (ii) more than 50% of our assets must be located outside the U.S. and (iii) our business must be administered principally outside the U.S. If SoftBank or its affiliates do not continue to hold a majority of our ordinary shares, we would likely fail to maintain our status as foreign private issuer.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is likely to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are incorporated under the laws of England and Wales. The rights of holders of ordinary shares and, therefore, certain of the rights of holders of ADSs, are governed by English law, including the provisions of the Companies Act and by the Articles. These rights differ in certain respects from the rights of shareholders in typical U.S. corporations. See “Description of Share Capital and Articles of Association—Differences in Corporate Law” in this prospectus for a description of the principal differences between the provisions of the Companies Act applicable to us and, for example, the Delaware General Corporation Law relating to shareholders’ rights and protections. The principal differences include the following:</w:t>
      </w:r>
    </w:p>
    <w:p>
      <w:pPr>
        <w:spacing w:after="0" w:line="67" w:lineRule="exact"/>
        <w:rPr>
          <w:sz w:val="20"/>
          <w:szCs w:val="20"/>
          <w:color w:val="auto"/>
        </w:rPr>
      </w:pPr>
    </w:p>
    <w:p>
      <w:pPr>
        <w:ind w:left="1080" w:right="30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English law, certain matters require the approval of not less than 75% of the shareholders who vote (in person or by proxy) on the relevant resolution (or on a poll of shareholders, by shareholders representing not less than 75% of the ordinary shares voting (in person or by proxy)), including amendments to the Articles. This may make it more difficult for us to complete corporate 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080" w:right="20" w:hanging="424"/>
        <w:spacing w:after="0" w:line="290"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U.K., takeovers may be structured as takeover offers or as schemes of arrangement. Under English law, a bidder seeking to acquire us by means of a takeover offer would need to make an offer for all of our outstanding ordinary shares and ADSs. If acceptances are not received for 90% or more of the ordinary shares and ADSs under the offer, under English law, the bidder cannot complete a “squeeze out” to obtain 100% control of us. Accordingly, acceptances of 90% of our outstanding ordinary shares/ADSs would likely be a condition in any takeover offer to acquire us, not 50% as is more common in tender offers for corporations organized under U.S. law. By contrast, a scheme of arrangement, the successful completion of which would result in a bidder obtaining 100% control of us, requires the approval of a majority in number of the shareholders or class of shareholders present and voting either in person or by proxy at the meeting and representing 75% in value of the ordinary shares (including those represented by ADSs) voting at the meeting for approval;</w:t>
      </w:r>
    </w:p>
    <w:p>
      <w:pPr>
        <w:spacing w:after="0" w:line="70" w:lineRule="exact"/>
        <w:rPr>
          <w:rFonts w:ascii="Arial" w:cs="Arial" w:eastAsia="Arial" w:hAnsi="Arial"/>
          <w:sz w:val="16"/>
          <w:szCs w:val="16"/>
          <w:color w:val="auto"/>
        </w:rPr>
      </w:pPr>
    </w:p>
    <w:p>
      <w:pPr>
        <w:ind w:left="1080" w:right="12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English law and the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93"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Articles, the quorum requirement for a shareholder meeting is a minimum of one shareholder present in person or by proxy (or, if a corporation, by representative).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9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6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 2023, the Company was re-registered as a public limited company with the name Arm Holdings plc. English law provides that, subject to certain exceptions (including the allotment, or the grant of</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rights to subscribe for or convert any security into shares, in pursuance of an employees’ share scheme), a board of directors of a public limited company may only allot shares (or grant rights to subscribe for or convert any security into shares) with the prior authorization of shareholders, such authorization stating the aggregate nominal amount of shares that it covers and being valid for a maximum period of five years, each as specified in the articles of association or relevant ordinary shareholder resolution passed by shareholders at a general meeting. We have obtained authority from our</w:t>
      </w:r>
    </w:p>
    <w:p>
      <w:pPr>
        <w:spacing w:after="0" w:line="1"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shareholders to allot additional shares ending , which authorization will need to be renewed upon expiration (</w:t>
      </w:r>
      <w:r>
        <w:rPr>
          <w:rFonts w:ascii="Arial" w:cs="Arial" w:eastAsia="Arial" w:hAnsi="Arial"/>
          <w:sz w:val="18"/>
          <w:szCs w:val="18"/>
          <w:i w:val="1"/>
          <w:iCs w:val="1"/>
          <w:color w:val="auto"/>
        </w:rPr>
        <w:t>i.e.</w:t>
      </w:r>
      <w:r>
        <w:rPr>
          <w:rFonts w:ascii="Arial" w:cs="Arial" w:eastAsia="Arial" w:hAnsi="Arial"/>
          <w:sz w:val="18"/>
          <w:szCs w:val="18"/>
          <w:color w:val="auto"/>
        </w:rPr>
        <w:t>, at least every five years) but may be sought more frequently for additional five-year terms (or for any shorter period).</w:t>
      </w:r>
    </w:p>
    <w:p>
      <w:pPr>
        <w:spacing w:after="0" w:line="18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English law also generally provides shareholders with preemptive rights when new shares are issued for cash, except that such rights do not apply to the allotment of equity securities that would, apart from any renunciation or assignment of the right to their allotment, be held under or allotted or transferred pursuant to an employees’ share scheme.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but not longer than the duration of the authority to allot shares to which the disapplication relates. In either case, this disapplication would need to be renewed by our shareholders upon its expiration (</w:t>
      </w:r>
      <w:r>
        <w:rPr>
          <w:rFonts w:ascii="Arial" w:cs="Arial" w:eastAsia="Arial" w:hAnsi="Arial"/>
          <w:sz w:val="16"/>
          <w:szCs w:val="16"/>
          <w:i w:val="1"/>
          <w:iCs w:val="1"/>
          <w:color w:val="auto"/>
        </w:rPr>
        <w:t>i.e.</w:t>
      </w:r>
      <w:r>
        <w:rPr>
          <w:rFonts w:ascii="Arial" w:cs="Arial" w:eastAsia="Arial" w:hAnsi="Arial"/>
          <w:sz w:val="16"/>
          <w:szCs w:val="16"/>
          <w:color w:val="auto"/>
        </w:rPr>
        <w:t>, at least every five years). We have obtained authority from our shareholders to disapply preemptive rights ending</w:t>
      </w:r>
    </w:p>
    <w:p>
      <w:pPr>
        <w:spacing w:after="0" w:line="1" w:lineRule="exact"/>
        <w:rPr>
          <w:sz w:val="20"/>
          <w:szCs w:val="20"/>
          <w:color w:val="auto"/>
        </w:rPr>
      </w:pPr>
    </w:p>
    <w:p>
      <w:pPr>
        <w:ind w:left="120" w:right="540" w:firstLine="896"/>
        <w:spacing w:after="0" w:line="260" w:lineRule="auto"/>
        <w:tabs>
          <w:tab w:leader="none" w:pos="11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which disapplication will need to be renewed upon expiration (</w:t>
      </w:r>
      <w:r>
        <w:rPr>
          <w:rFonts w:ascii="Arial" w:cs="Arial" w:eastAsia="Arial" w:hAnsi="Arial"/>
          <w:sz w:val="18"/>
          <w:szCs w:val="18"/>
          <w:i w:val="1"/>
          <w:iCs w:val="1"/>
          <w:color w:val="auto"/>
        </w:rPr>
        <w:t>i.e.</w:t>
      </w:r>
      <w:r>
        <w:rPr>
          <w:rFonts w:ascii="Arial" w:cs="Arial" w:eastAsia="Arial" w:hAnsi="Arial"/>
          <w:sz w:val="18"/>
          <w:szCs w:val="18"/>
          <w:color w:val="auto"/>
        </w:rPr>
        <w:t>, at least every five years), but may be sought more frequently for additional five-year terms (or for any shorter period).</w:t>
      </w:r>
    </w:p>
    <w:p>
      <w:pPr>
        <w:spacing w:after="0" w:line="18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 See “Description of Share Capital and Articles of Association.”</w:t>
      </w:r>
    </w:p>
    <w:p>
      <w:pPr>
        <w:spacing w:after="0" w:line="29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w:t>
      </w:r>
    </w:p>
    <w:p>
      <w:pPr>
        <w:spacing w:after="0" w:line="76"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On completion of this offering, it is anticipated that the ADSs will be transferred to a nominee for The Depository Trust Company (“DTC”) and corresponding book-entry interests credited in the facilities of DTC. On the basis of current law and HM Revenue &amp; Customs (“HMRC”) practice, no charges to U.K. stamp duty or stamp duty reserve tax (“SDRT”) are expected to arise on either the transfer of ADSs into DTC’s facilities or on subsequent transfers of book-entry interests in ADSs entirely within DTC’s facilities. Similarly, on the basis of current law and HMRC practice, a transfer of title in the ADSs from within the DTC clearance system to a purchaser out of the DTC clearance system and any subsequent transfers that occur entirely outside the DTC clearance system should not attract a charge to U.K. stamp duty or SDRT.</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you choose to withdraw the ordinary shares underlying your ADSs (in accordance with the deposit agreement, applicable laws and regulations) from the depositary, U.K. stamp duty and SDRT will not generally be chargeable on any such withdrawal in your favor, but will generally be chargeable on any subsequent transfers of the ordinary shares or redeposits of the ordinary shares into the ADR program (at the rates specified below). Therefore, you are strongly encouraged to hold your ADSs (representing ordinary shares) in book-entry form through the facilities of DTC.</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connection with the completion of this offering, we expect to put in place arrangements to require that ordinary shares held in certificated form or otherwise outside the depositary system cannot be represented by ADSs within the DTC clearance system until the transferor of the ordinary shares has first delivered the ordinary</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shares to a depositary specified by us so that any U.K. stamp duty (or SDRT) may be collected in connection with the delivery to the depositary. Any such ADSs in respect of those ordinary shares so deposited may be evidenced by a receipt issued by the depositary. Before the transfer can be registered in the books of the depositary for the ADSs to be issued, the transferor will also be required to put funds in the depositary to settle any resultant liability to stamp duty (or SDRT), which will be charged at a rate of 1.5% of the value of the ADSs. We have received confirmation from HMRC that, in respect of the transactions contemplated by, and put in place as part of, this offering, no charge to U.K. stamp duty or SDRT should arise.</w:t>
      </w:r>
    </w:p>
    <w:p>
      <w:pPr>
        <w:spacing w:after="0" w:line="16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cannot assure you that the current legislation and/or HMRC guidance will not change. In particular, certain rights derived from European Union law currently recognized in U.K. domestic law will cease to be so following December 31, 2023 as a result of the Retained EU Law (Revocation and Reform) Act 2023, absent the exercise of a regulation-making power to restate or reproduce specific rights in U.K. domestic law. Rights derived from European Union law, of this type, would therefore cease to restrict the application of the rules providing for the 1.5% U.K. stamp duty or SDRT charge. There has been no indication that these European Union law rights will be restated or reproduced in U.K. domestic law before December 31, 2023. Accordingly, future issues or transfers of our ordinary shares to, or appropriations of our ordinary shares by, depositary receipt systems after December 31, 2023 may be subject to 1.5% U.K. stamp duty or SDRT. The HMRC confirmation referred to above does not extend to such future transactions.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It is also possible that, for example, in the future, a transfer of title in the ADSs from within the DTC clearance system to a purchaser out of the DTC clearance system and/or any subsequent transfers of ADSs that occur entirely outside (or inside) the DTC clearance system, will attract a charge to U.K. stamp duty or SDRT. Any such U.K. stamp duty or SDRT will be chargeable at a rate of 0.5% (or potentially 1.5% in certain circumstances) of any consideration, which is normally payable by the transferee. Any such duty must be paid (and the relevant transfer document, if any, stamped by HMRC) before the transfer can be registered in the books of the depositary and, if relevant, ADSs issued to a nominee for DTC and corresponding book-entry interests credited in the facilities of DTC.</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further information about the U.K. stamp duty and SDRT implications of holding ADSs and withdrawing ordinary shares under current law, please see the section titled “Material Tax Considerations—U.K. Taxation” of this 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liable for stamp duty in connection with the corporate reorganization.</w:t>
      </w:r>
    </w:p>
    <w:p>
      <w:pPr>
        <w:spacing w:after="0" w:line="11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In connection with the corporate reorganization described under the section titled “Corporate Reorganization,” the entire issued share capital of Arm Limited was transferred to the Company. We have made an application to HMRC for such transfer to be adjudicated as not chargeable to U.K. stamp duty by virtue of section 77 of the Finance Act 1986. While it is expected that all of the conditions of section 77 of the Finance Act 1986 are satisfied and relief should be available, if such relief is not forthcoming we will be required to pay 0.5% U.K. stamp duty of the value of the consideration given for that transfer, which is expected to be, broadly, 0.5% of the value of the transferred share capital of Arm Limited.</w:t>
      </w:r>
    </w:p>
    <w:p>
      <w:pPr>
        <w:spacing w:after="0" w:line="269" w:lineRule="exact"/>
        <w:rPr>
          <w:sz w:val="20"/>
          <w:szCs w:val="20"/>
          <w:color w:val="auto"/>
        </w:rPr>
      </w:pPr>
    </w:p>
    <w:p>
      <w:pPr>
        <w:ind w:left="120" w:right="180"/>
        <w:spacing w:after="0" w:line="327" w:lineRule="auto"/>
        <w:rPr>
          <w:sz w:val="20"/>
          <w:szCs w:val="20"/>
          <w:color w:val="auto"/>
        </w:rPr>
      </w:pPr>
      <w:r>
        <w:rPr>
          <w:rFonts w:ascii="Arial" w:cs="Arial" w:eastAsia="Arial" w:hAnsi="Arial"/>
          <w:sz w:val="15"/>
          <w:szCs w:val="15"/>
          <w:b w:val="1"/>
          <w:bCs w:val="1"/>
          <w:i w:val="1"/>
          <w:iCs w:val="1"/>
          <w:color w:val="auto"/>
        </w:rPr>
        <w:t>The Articles will provide that, unless the Company by ordinary resolution consents to the selection of an alternative forum, the courts of England and Wales will be the exclusive forum for the resolution of all shareholder complaints other than complaints asserting a cause of action arising under the Securities Act and the Exchange Act, and that the U.S. District Court for the Northern District of California will be the exclusive forum for the resolution of any shareholder complaint asserting a cause of action arising under the Securities Act or the Exchange Act.</w:t>
      </w:r>
    </w:p>
    <w:p>
      <w:pPr>
        <w:spacing w:after="0" w:line="3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Articles will provide that, unless the Company by ordinary resolution consents to the selection of an alternative forum, the courts of England and Wales will be the exclusive forum for resolving all shareholder complaints other than shareholder complaints asserting a cause of action arising under the Securities Act of 1933,</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as amended (the “Securities Act”), or the Exchange Act, and that the U.S. District Court for the Northern District of California will be the exclusive forum for resolving any shareholder complaint asserting a cause of action arising under the Securities Act or the Exchange Act, including applicable claims arising out of this offering. In addition, the Articles will provide that any person or entity purchasing or otherwise acquiring any interest in our shares is deemed to have notice of and consented to these provisions.</w:t>
      </w:r>
    </w:p>
    <w:p>
      <w:pPr>
        <w:spacing w:after="0" w:line="187"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the Articles. Additionally, our shareholders cannot waive compliance with the federal securities laws and the rules and regulations thereunder. If a court were to find either choice of forum provision contained in the Articles to be inapplicable or unenforceable in an action, we may incur additional costs associated with resolving such action in other jurisdictions, which could adversely affect our results of operations and financial condition. The courts of England and Wales and the U.S. District Court for the Northern District of California may also reach different judgments or results than would other courts, including courts where a shareholder considering bringing a claim may be located or would otherwise choose to bring the claim, and such judgments may be more or less favorable to us than our shareholders.</w:t>
      </w:r>
    </w:p>
    <w:p>
      <w:pPr>
        <w:spacing w:after="0" w:line="2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Shareholder protections found in provisions under the Takeover Code will not apply if our place of central management and control remains outside the U.K.</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Takeover Code also applies to all offers for public companies which have their registered office in the U.K., the Channel Islands or the Isle of Man if they are considered by the Panel on Takeovers and Mergers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Although our registered office is in the U.K., the Takeover Code does not currently apply to us because our shares are not admitted to trading on a regulated market or multilateral trading facility in the U.K. or any stock exchange in the Channel Islands or the Isle of Man and the Takeover Panel has confirmed to us that, on the basis of the current residency of our directors as at the date of this prospectus, we will not have our place of central management and control in the U.K., the Channel Islands or the Isle of Man.</w:t>
      </w:r>
    </w:p>
    <w:p>
      <w:pPr>
        <w:spacing w:after="0" w:line="18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As a result, our shareholders are not currently entitled to the benefit of certain takeover offer protections provided under the Takeover Code, including the rules regarding mandatory takeover bids and, therefore, holders of ADSs will not benefit from these protections.</w:t>
      </w:r>
    </w:p>
    <w:p>
      <w:pPr>
        <w:spacing w:after="0" w:line="146"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Takeover Code provides a framework within which takeovers of companies are regulated and conducted. The following is a brief summary of some of the most important rules of the Takeover Code:</w:t>
      </w:r>
    </w:p>
    <w:p>
      <w:pPr>
        <w:spacing w:after="0" w:line="76" w:lineRule="exact"/>
        <w:rPr>
          <w:sz w:val="20"/>
          <w:szCs w:val="20"/>
          <w:color w:val="auto"/>
        </w:rPr>
      </w:pPr>
    </w:p>
    <w:p>
      <w:pPr>
        <w:ind w:left="1080" w:right="6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receipt of a potential offer.</w:t>
      </w:r>
    </w:p>
    <w:p>
      <w:pPr>
        <w:spacing w:after="0" w:line="92"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When a person (a) acquires, whether by a series of transactions over a period of time or not, interests in shares carrying 30% or more of the voting rights of a company when taken together with shares in which persons acting in concert with that person are interested (which percentage is treated by the Takeover Code as the level at which effective control is obtained), or (b) acquires an interest in any other shares which increases the percentage of shares carrying voting rights in which they are interested when they are, together with persons acting in concert with them, already interested in shares which carry not less than 30% of the voting rights but do not hold shares carrying more than 50% of such voting rights, they must make a cash offer to all other shareholders at the highest price paid by them or any person acting in concert with them in the twelve months before the offer was announced.</w:t>
      </w:r>
    </w:p>
    <w:p>
      <w:pPr>
        <w:spacing w:after="0" w:line="82" w:lineRule="exact"/>
        <w:rPr>
          <w:rFonts w:ascii="Arial" w:cs="Arial" w:eastAsia="Arial" w:hAnsi="Arial"/>
          <w:sz w:val="17"/>
          <w:szCs w:val="17"/>
          <w:color w:val="auto"/>
        </w:rPr>
      </w:pPr>
    </w:p>
    <w:p>
      <w:pPr>
        <w:ind w:left="1080" w:right="100" w:hanging="424"/>
        <w:spacing w:after="0" w:line="273"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When interests in shares carrying 10% or more of the voting rights of a class have been acquired for cash by an offeror (</w:t>
      </w:r>
      <w:r>
        <w:rPr>
          <w:rFonts w:ascii="Arial" w:cs="Arial" w:eastAsia="Arial" w:hAnsi="Arial"/>
          <w:sz w:val="17"/>
          <w:szCs w:val="17"/>
          <w:i w:val="1"/>
          <w:iCs w:val="1"/>
          <w:color w:val="auto"/>
        </w:rPr>
        <w:t>i.e.</w:t>
      </w:r>
      <w:r>
        <w:rPr>
          <w:rFonts w:ascii="Arial" w:cs="Arial" w:eastAsia="Arial" w:hAnsi="Arial"/>
          <w:sz w:val="17"/>
          <w:szCs w:val="17"/>
          <w:color w:val="auto"/>
        </w:rPr>
        <w:t>, a bidder) and any person acting in concert with it in the offer period (</w:t>
      </w:r>
      <w:r>
        <w:rPr>
          <w:rFonts w:ascii="Arial" w:cs="Arial" w:eastAsia="Arial" w:hAnsi="Arial"/>
          <w:sz w:val="17"/>
          <w:szCs w:val="17"/>
          <w:i w:val="1"/>
          <w:iCs w:val="1"/>
          <w:color w:val="auto"/>
        </w:rPr>
        <w:t>i.e.</w:t>
      </w:r>
      <w:r>
        <w:rPr>
          <w:rFonts w:ascii="Arial" w:cs="Arial" w:eastAsia="Arial" w:hAnsi="Arial"/>
          <w:sz w:val="17"/>
          <w:szCs w:val="17"/>
          <w:color w:val="auto"/>
        </w:rPr>
        <w:t>, before the shares subject to the offer have been acquired) and the previous twelve months, the offer must be in cash or be accompanied by a cash alternative for all shareholders of that class at not less than the highest price paid by the offeror or any person acting in concert with it in that period. Further, if an offeror or any person acting in concert with it acquires for cash any interest in shares during the offer period, the offer for the shares must be in cash or accompanied by a cash alternative at a price at least equal to the highest price paid for such shares during the offer period.</w:t>
      </w:r>
    </w:p>
    <w:p>
      <w:pPr>
        <w:spacing w:after="0" w:line="83"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after a firm offer announcement is made, the offeror or any person acting in concert with it acquires an interest in shares in an offeree company (</w:t>
      </w:r>
      <w:r>
        <w:rPr>
          <w:rFonts w:ascii="Arial" w:cs="Arial" w:eastAsia="Arial" w:hAnsi="Arial"/>
          <w:sz w:val="18"/>
          <w:szCs w:val="18"/>
          <w:i w:val="1"/>
          <w:iCs w:val="1"/>
          <w:color w:val="auto"/>
        </w:rPr>
        <w:t>i.e.</w:t>
      </w:r>
      <w:r>
        <w:rPr>
          <w:rFonts w:ascii="Arial" w:cs="Arial" w:eastAsia="Arial" w:hAnsi="Arial"/>
          <w:sz w:val="18"/>
          <w:szCs w:val="18"/>
          <w:color w:val="auto"/>
        </w:rPr>
        <w:t>, a target) at a price higher than the value of the offer, the offer must be increased to not less than the highest price paid for the interest in shares so acquired.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dealings in relevant securities by the parties to an offer and any person who is interested (directly or indirectly) in 1% or more of any class of relevant securities.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line="31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 and Ownership of Our Securities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There has been no prior market for our ordinary shares or the ADSs and an active, liquid and orderly trading market may not develop for our ADSs or be sustained following this offering, which could harm the market price of our ADSs and make it difficult for you to sell your ADSs.</w:t>
      </w:r>
    </w:p>
    <w:p>
      <w:pPr>
        <w:spacing w:after="0" w:line="1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Prior to this offering, there was no public trading market for our ordinary shares or ADSs. Although our ADSs are expected to be listed on Nasdaq, an active trading market for our ADSs may never develop or be sustained following this offering. You may not be able to sell your ADSs quickly or at the then-current market price if trading in our ADSs is not active. The initial public offering price was determined by negotiations among the lead underwriters, the selling shareholder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public offering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cause us to relinquish valuable rights.</w:t>
      </w:r>
    </w:p>
    <w:p>
      <w:pPr>
        <w:spacing w:after="0" w:line="14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of the securities may include liquidation or other preferences that may be senior to your rights as holder of ADSs.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or our shareholders.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collaborations, and alliances and licensing arrangements with third parties, we may have to relinquish valuable rights to our IP or products, or grant licenses on terms unfavorable to us.</w:t>
      </w:r>
    </w:p>
    <w:p>
      <w:pPr>
        <w:spacing w:after="0" w:line="185"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holders in the U.S. unless we register the offer and sale of the rights and the securities to which the rights relate under the Securities Act or an exemption from the registration requirements is available. Also, under the deposit agreement, the depositary bank will not make rights available to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to endeavor to cause such a registration statement to be declared effective or to establish an exemption from registration under the Securities Act. Accordingly, you may be unable to participate in such a rights offerings and may experience dilution in your holdings.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price of our ADSs may be volatile, and you may not be able to resell your ADSs at or above the initial public offering price.</w:t>
      </w:r>
    </w:p>
    <w:p>
      <w:pPr>
        <w:spacing w:after="0" w:line="1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market price of our ADSs following this offering could be volatile. The stock market in general, and the market for technology companies in particular, has experienced extreme volatility that has often been unrelated</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the operating performance of particular companies, and the trading price of our ADSs may be volatile due to factors beyond our control. As a result of this volatility, you may not be able to sell your ADSs at or above the initial public offering price. The market price for our ADSs may be influenced by many factors, including, among others:</w:t>
      </w:r>
    </w:p>
    <w:p>
      <w:pPr>
        <w:spacing w:after="0" w:line="8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ordinary shares relative to other investment alternatives;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licensed products or those of others in our industry, or of our industry generally;</w:t>
      </w:r>
    </w:p>
    <w:p>
      <w:pPr>
        <w:spacing w:after="0" w:line="142" w:lineRule="exact"/>
        <w:rPr>
          <w:rFonts w:ascii="Arial" w:cs="Arial" w:eastAsia="Arial" w:hAnsi="Arial"/>
          <w:sz w:val="17"/>
          <w:szCs w:val="17"/>
          <w:color w:val="auto"/>
        </w:rPr>
      </w:pPr>
    </w:p>
    <w:p>
      <w:pPr>
        <w:ind w:left="1080" w:right="300" w:hanging="424"/>
        <w:spacing w:after="0" w:line="311"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prospectus.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Broad market and industry factors may negatively affect the market price of our ADSs, regardless of our actual operating performance. Further, a decline in the financial markets and related factors beyond our control may cause the price of our ADSs to decline rapidly and unexpectedly. If the market price of our ADSs after the completion of this offering does not exceed the initial public offering price, you may not realize any return on your investment in us and may lose some or all of your investment. In the past, securities class action litigation has often been brought against a company following a decline in the market price of its securities. If we were to become involved in securities litigation, it could subject us to substantial costs, divert resources and the attention of management from our business and materially and adversely affect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ADSs may be influenced by reports published by industry and equity research analysts.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trading market for our ADSs will be influenced by the research and reports that industry or equity research analysts publish about us or our business. As a newly public company, the analysts who publish information about our ADSs will have had relatively little experience with us, which could affect their ability to accurately forecast our results and could make it more likely that we fail to meet their estimates. We will not have any control over the analysts’ content and opinions included in their reports. If any of the analysts who cover us issue an adverse or misleading opinion regarding us, our business model, financial performance, ADS price or otherwise, our ADS price would likely decline. If one or more of these analysts ceases coverage of our</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company or fails to regularly publish reports on us, we could lose visibility in the financial markets, which, in turn, could cause our ADS price or trading volume to decline and result in the loss of all or a part of your investment in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Substantial future sales of ADSs in the public market, or the perception that these sales could occur, could cause the price of the ADSs to decline.</w:t>
      </w:r>
    </w:p>
    <w:p>
      <w:pPr>
        <w:spacing w:after="0" w:line="152"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If our existing shareholders sell, or indicate an intention to sell, substantial amounts of our ADSs in the public market after the lockup and other legal restrictions on resale discussed in this prospectus lapse, the trading price of our ADSs could decline. Upon completion of this offering, we will</w:t>
      </w:r>
    </w:p>
    <w:p>
      <w:pPr>
        <w:ind w:left="120" w:right="20"/>
        <w:spacing w:after="0" w:line="268" w:lineRule="auto"/>
        <w:rPr>
          <w:sz w:val="20"/>
          <w:szCs w:val="20"/>
          <w:color w:val="auto"/>
        </w:rPr>
      </w:pPr>
      <w:r>
        <w:rPr>
          <w:rFonts w:ascii="Arial" w:cs="Arial" w:eastAsia="Arial" w:hAnsi="Arial"/>
          <w:sz w:val="17"/>
          <w:szCs w:val="17"/>
          <w:color w:val="auto"/>
        </w:rPr>
        <w:t>have ordinary shares outstanding. Of these shares, only the shares represented by ADSs sold in this offering by the selling shareholder will be freely tradable without restriction in the public market immediately following this offering. In connection with this offering, our officers, directors and the selling shareholder have agreed to be subject to a contractual lock-up with the underwriters, which will expire after the end of a lock-up period, described in the sections titled “Ordinary Shares and ADSs Eligible for Future Sale” and “Underwriting.” If, upon the expiration of the lock-up period, these shareholders sell substantial amounts of our ADSs in the public market or engage in financing transactions involving our ADSs or ordinary shares, or the market perceives that such transactions may occur, the market price of our ADSs and our ability to raise capital through an issue of equity securities in the future could be adversely affected. In the future, SoftBank may transfer a portion of its holdings in us to one or more of its affiliates. Such affiliates may have different investment strategies and interests and may decide to sell their holdings to third parties even if SoftBank intends to continue to hold the remainder of its holdings.</w:t>
      </w:r>
    </w:p>
    <w:p>
      <w:pPr>
        <w:spacing w:after="0" w:line="18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lock-up agreements contain important exceptions that govern their applicability. Moreover, the representatives of the underwriters may, in their sole discretion, permit our officers, directors and other shareholders who are subject to these lock-up agreements to sell shares prior to the expiration of the lock-up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are not treated as holders of our ordinary shares.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By participating in this offering you will become a holder of ADSs with underlying ordinary shares in a company incorporated under the laws of England and Wales. Holders of ADSs are not treated as holders of our ordinary shares, unless they withdraw the ordinary shares underlying their ADSs in accordance with the deposit agreement and applicable laws and regulations. The depositary, the custodian or their nominee will be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Holders of ADSs may be subject to limitations on the transfer of their ADSs and the withdrawal of the underlying ordinary shares.</w:t>
      </w:r>
    </w:p>
    <w:p>
      <w:pPr>
        <w:spacing w:after="0" w:line="1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our ADSs is entitled to charge holders fees for various services, including annual ADS service fees.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depositary for our ADSs is entitled to charge ADS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ADS service fees. In the case of ADSs issued by the depositary into the DTC, the fees will be charged by the DTC participants to the account of the applicable beneficial owners of ADSs in accordance with the procedures and practices of the DTC participants as in effect at the time. See “—Risks Relating to Our Status as a Controlled Company and Foreign Private Issuer —Transfers of ADSs outside DTC may be subject to stamp duty or stamp duty reserve tax in the U.K., which would increase the cost of dealing in ADSs.”</w:t>
      </w:r>
    </w:p>
    <w:p>
      <w:pPr>
        <w:spacing w:after="0" w:line="30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ordinary shares and may not receive voting materials in time to be able to exercise your right to vote.</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Except as described in this prospectus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have a right to vote unless they withdraw the ordinary shares underlying their ADSs to vote them in person or by proxy in accordance with applicable laws and regulations and the Articles.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ADS holders a shareholder meeting notice that contains, among other things, a statement as to the manner in which voting instructions may be given to the depositary.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the Articles.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be able to vote in person or by proxy and they may not have any recourse against the depositary or us if the ordinary shares underlying their ADSs are not voted as they have requested or if such ordinary shares cannot be voted.</w:t>
      </w:r>
    </w:p>
    <w:p>
      <w:pPr>
        <w:spacing w:after="0" w:line="2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materially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it our understanding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agreeing to be a party to the deposit agreement.</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No condition, stipulation or provision of the deposit agreement or ADRs serves as a waiver by any holder or beneficial owner of ADSs or by us or the depositary of compliance with any substantive provision of the U.S. federal securities laws and the rules and regulations promulgated thereunder.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 agreement expressly limits our and the depositary’s obligations and liabilities.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liabilities as well as those of the depositary. See “Description of American Depositary Shares—Limitations on Obligations and Liabilities.” Such limitations include the following:</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108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51" w:lineRule="exact"/>
        <w:rPr>
          <w:rFonts w:ascii="Arial" w:cs="Arial" w:eastAsia="Arial" w:hAnsi="Arial"/>
          <w:sz w:val="17"/>
          <w:szCs w:val="17"/>
          <w:color w:val="auto"/>
        </w:rPr>
      </w:pPr>
    </w:p>
    <w:p>
      <w:pPr>
        <w:ind w:left="1080" w:right="120" w:hanging="424"/>
        <w:spacing w:after="0" w:line="25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1080" w:right="140" w:hanging="424"/>
        <w:spacing w:after="0" w:line="25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75" w:lineRule="exact"/>
        <w:rPr>
          <w:rFonts w:ascii="Arial" w:cs="Arial" w:eastAsia="Arial" w:hAnsi="Arial"/>
          <w:sz w:val="18"/>
          <w:szCs w:val="18"/>
          <w:color w:val="auto"/>
        </w:rPr>
      </w:pPr>
    </w:p>
    <w:p>
      <w:pPr>
        <w:jc w:val="both"/>
        <w:ind w:left="1080" w:right="80" w:hanging="424"/>
        <w:spacing w:after="0" w:line="286"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200" w:hanging="424"/>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These provisions of the deposit agreement limit the ability of ADS holders to obtain recourse if we or the depositary fail to meet our respective obligations under the deposit agreement.</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nothing in the deposit agreement gives rise to a partnership or joint venture, or establishes a fiduciary relationship, among us, the depositary and you as ADS holder.</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Furthermore, 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2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depositary for the ADSs has agreed to pay to you the cash dividends or other distributions it or the custodian receives on our ordinary shares or other deposited securities after deducting its fees and expenses, and any taxes.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9" w:right="5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ordinary shares in the foreseeable future, capital appreciation, if any, will be your sole source of gains and you may never receive a return on your investment.</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English law, a company’s accumulated realized profits, to the extent they have not been previously utilized by distribution or capitalization, must exceed its accumulated realized losses, to the extent that they have not been previously written off in a reduction or reorganization of capital duly made (on a non-consolidated basis), before dividends can be paid. Therefore, we must have distributable profits before issuing a dividend.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We are incorporated under the laws of England and Wales and have our registered office in England. The U.S. and the U.K. do not currently have a treaty providing for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English courts would entertain original actions brought in England and Wales against us or our directors or senior management predicated upon the securities laws of the U.S. or any state in the U.S. Any final and conclusive monetary judgment for a definite sum obtained against us in U.S. courts would be treated by English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7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U.K. or countries other than the U.S. any judgments obtained in U.S. courts in civil and commercial matters, including judgments under the U.S. federal securities laws.</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members of our Board of Directors.</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the listing requirements of Nasdaq, on which our ADSs will trade,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reporting to meet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more employees in the future, which will increase our costs and expenses.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w:t>
      </w:r>
    </w:p>
    <w:p>
      <w:pPr>
        <w:spacing w:after="0" w:line="18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We also expect that being a public company combined with these new rules and regulations will make it more expensive for us to obtain director and officer liability insurance, and we may be required to accept reduced coverage or incur substantially higher costs to obtain coverage. These factors also could make it more difficult for us to attract and retain qualified senior management and members of our Board of Directors, particularly to serve on our audit committee and remuneration committee.</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materially harm our business, operating results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U.S. and U.K. Tax Regimes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If we are (or one of our non-U.S. subsidiaries is) a “controlled foreign corporation” (a “CFC”), there could be adverse U.S. federal income tax consequences to certain U.S. investors.</w:t>
      </w:r>
    </w:p>
    <w:p>
      <w:pPr>
        <w:spacing w:after="0" w:line="6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Generally, if a U.S. investor is treated as owning, directly, indirectly or constructively, at least 10% of either the total value or total combined voting power of our stock, such U.S. investor may be treated as a “United States shareholder” with respect to each CFC in our group, if any, for U.S. federal income tax purposes. A non-U.S. corporation will generally be classified as a CFC for U.S. federal income tax purposes if United States shareholders own, directly, indirectly or constructively, more than 50% of either the total value or the total combined voting power of the stock of such corporation. Because our group includes U.S. subsidiaries, our current non-U.S. subsidiaries and potentially any future newly formed or acquired non-U.S. subsidiaries generally will be treated as CFCs, regardless of whether we are treated as a CFC. A United States shareholder of a CFC may be required to annually report and include in its U.S. taxable income its pro rata share of “Subpart F income,” “global intangible low-taxed income” and investments of earnings in U.S. property, regardless of whether such CFC makes any distributions to its shareholders. Additionally, an individual that is a United States shareholder with respect to a CFC generally would not be allowed certain tax deductions or foreign tax credits that would be allowed to a United States shareholder that is a U.S. corporation. Failure to comply with CFC reporting obligations may also subject a United States shareholder to significant monetary penalties and may prevent the statute of limitations with respect to such United States shareholder’s U.S. federal income tax return for the year for which reporting was due from expiring. We cannot provide any assurances that we will furnish to</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United States shareholder information that may be necessary to comply with the reporting and tax paying obligations applicable under the CFC rules of the Internal Revenue Code of 1986, as amended (the “Code”), and the United States Internal Revenue Service (the “IRS”) has provided only limited guidance on situations in which investors may rely on publicly available information to comply with their reporting and tax paying obligations with respect to foreign-controlled CFCs. U.S. investors should consult their tax advisors regarding the potential application of these rules to their investment in our ordinary shares or ADSs.</w:t>
      </w:r>
    </w:p>
    <w:p>
      <w:pPr>
        <w:spacing w:after="0" w:line="29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(a “PFIC”) for any taxable year, there could be adverse U.S. federal income tax consequences to U.S. investors.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general, we will be a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(including cash and cash equivalents). For purposes of these tests, passive income generally includes, among other things, dividends, interest, gains from certain sales or exchanges of investment property and certain rents and royalties. If we are a PFIC for any taxable year during which a U.S. investor holds our shares, we will generally continue to be treated as a PFIC with respect to such U.S. investor for all succeeding taxable years during which such U.S. investor holds our ordinary shares or ADSs, even if we cease to meet the threshold requirements for PFIC status. Such U.S. investor may be subject to adverse tax consequences with respect to our ordinary shares or ADSs, including ineligibility for any preferential tax rates on capital gains or on actual or deemed dividends, interest charges on certain taxes treated as deferred and additional reporting requirements. We cannot provide any assurance that we will furnish to such U.S. investor information that may be necessary to comply with the reporting and tax paying obligations applicable under the PFIC rules of the Code. Such U.S. investor should consult its tax advisors regarding the potential application of these rules to their investment in our ordinary shares or ADSs.</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Based upon the value of our assets and the nature and composition of our income and assets, we expect that we will not be classified as a PFIC for the taxable year ended March 31, 2023, although no assurances can be made in this regard. However, the determination of whether we are a PFIC is a fact-intensive determination made on an annual basis applying principles and methodologies that in some circumstances are unclear and subject to varying interpretation. For instance, for our current and future taxable years, the total value of our assets (including goodwill) for PFIC testing purposes may be determined in part by reference to the market price of our ordinary shares or ADSs from time to time, which may fluctuate considerably. If our market capitalization declines while we hold a substantial amount of cash and cash 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 would not successfully challenge our position.</w:t>
      </w:r>
    </w:p>
    <w:p>
      <w:pPr>
        <w:spacing w:after="0" w:line="17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further discussion of the PFIC rules and the adverse U.S. federal income tax consequences in the event we are classified as a PFIC, as well as certain elections that may be available to U.S. investors, see the section of this prospectus titled “Material Tax Considerations—Material U.S. Federal Income Tax Considerations for U.S. Holders—Passive Foreign Investment Company Rules.”</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conduct business globally and file income tax returns in multiple jurisdictions. Our consolidated effective income tax rate, and the tax treatment of our ADSs and ordinary shares, could be materially adversely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affected by several factors, including: changing tax laws, regulations and treaties, or the interpretation thereof; tax policy initiatives and reforms under consideration (such as those related to the Organisation for Economic Co-Operation and Development’s Base Erosion and Profit Shifting Project, the European Commission’s state aid investigations and other initiatives); the practices of tax authorities in jurisdictions in which we operate; and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 or the stamp duty or SDRT treatment of our ADSs or ordinary shares.</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believe that our provision for income taxes is reasonable, but the ultimate tax outcome may differ from the amounts recorded in our financial statements and may materially affect our financial results in the period or periods in which such outcome is determined.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financial statements,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Additionally, our future tax liability could be impacted by changes in accounting principles or changes in applicable tax jurisdictions.</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we may periodically restructure our legal entities and if taxing authorities were to disagree with our tax positions in connection with any such restructurings, our tax liability could be materially affected. In connection with any restructuring we could also incur additional charges associated with consulting fees and other charges.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carry out extensive research and development activities, and as a result, we benefit in the U.K. from the research and development expenditure credit (“RDEC”) regime, which provides relief against U.K. corporation tax. Broadly, RDEC provides a tax credit currently equal to 20% of ‘qualifying research and development expenditure’ incurred from April 1, 2023 (the rate was previously 13% of qualifying research and development expenditure incurred from April 1, 2020 to March 31, 2023) by certain companies where certain criteria are met. To the extent a company cannot utilize the RDEC against U.K. corporation tax then certain rules apply that allow the RDEC to, among other things, reduce the tax liability of certain specified taxes (for example, value added tax or employee taxes), or be surrendered to a group company, and to the extent it is not possible to utilize the RDEC in full, then the net tax credit is paid to the company by HMRC in cash. Between January 2023 and March 2023, the U.K. government ran a consultation on the design of a single, simplified R&amp;D tax relief scheme, expected to be based on the RDEC scheme, which would merge the existing RDEC and small and medium-sized enterprise R&amp;D relief. The U.K. government is considering the responses and no decision has yet been made. We expect that, if implemented, the new scheme will be in place for expenditures incurred after April 1, 2024.</w:t>
      </w:r>
    </w:p>
    <w:p>
      <w:pPr>
        <w:spacing w:after="0" w:line="18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also benefit from the U.K.’s “patent box” regime, which allows certain profits attributable to revenues from patented products (and other qualifying income) to be taxed at an effective corporation tax rate of 10%.</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If, however, there are unexpected adverse changes to the RDEC or the “patent box” regime (including any such changes which result from the U.K. government’s response to its consultation on the design of a single, simplified R&amp;D tax relief scheme), or for any reason we are unable to qualify for such tax incentives, then our business, results of operations and financial condition may be adversely affected.</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This prospectus contains forward-looking statements that reflect our plans, beliefs, expectations and current views with respect to, among other things, future events and financial performance. The forward-looking statements appear in a number of places in this prospectus, including, but not limited to, the sections titled “Prospectus Summary,” “Risk Factors,” “Management’s Discussion and Analysis of Financial Condition and Results of Operations” and “Business.”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contained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Such risks and uncertainties include, but are not limited to:</w:t>
      </w:r>
    </w:p>
    <w:p>
      <w:pPr>
        <w:spacing w:after="0" w:line="92" w:lineRule="exact"/>
        <w:rPr>
          <w:sz w:val="20"/>
          <w:szCs w:val="20"/>
          <w:color w:val="auto"/>
        </w:rPr>
      </w:pPr>
    </w:p>
    <w:p>
      <w:pPr>
        <w:ind w:left="1080" w:right="3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sales, gross profit, operating expenses and other operating results, as well as our ability to maintain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the semiconductor and electronics industries and the demand for the products of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the compatibility of our products with the manufacturing and design processes of our customers;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reliance on third parties to market and sell chips and end products incorporating our products, as well as add value to our licensed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significant portion of our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new customers and sell additional products to our existing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loss of any of our senior management personnel or one or more key employees or our inability to attract and retain qualified personnel;</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adequately fund our research and development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risks related to the availability of development tools, systems software, EDA tools and operating systems compatible with our architecture;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protect our proprietary products and our brand, and the costs of protecting such IP rights, particularly as a result of litigation;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 and unpredictability of our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verify royalty amounts owed to us under our licensing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foreign exchange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organic growth or growth from strategic investments or acquisitions we make, and the risk of failing to effectively manage our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the slow development of the market for our connectivity, device and data management platform;</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possibility of cyberattacks, breaches of our security controls and unauthorized access to our data or a customer’s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satisfy data protection, security, privacy or other government- and industry-specific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associated with the interests of SoftBank conflicting with the interests of other holders of our ordinary shares and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effects of global general economic conditions, political factors, war or hostility, pandemics and other events outside of our control;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factors relating to our financial condition and arrangements.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the manner that we anticipate, in any specified time frame, or at all. We undertake no obligation to publicly update any forward-looking statements, whether as a result of new information, future events or otherwise, except as required by law, applicable regulations or the rules of any stock exchange to which we are subject.</w:t>
      </w:r>
    </w:p>
    <w:p>
      <w:pPr>
        <w:spacing w:after="0" w:line="166"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not receive any proceeds from the sale of the ADSs by the selling shareholder. All net proceeds from the sale of ADSs in this offering will go to the selling shareholder.</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intend to retain any earnings for use in our business and do not currently intend to pay dividends on our ordinary shares or ADSs. The declaration and payment of any future dividends will be at the discretion of our Board of Directors and will depend upon our results of operations, cash requirements, financial condition, contractual restrictions, any future debt agreements or applicable laws and other factors that our Board of Directors may deem relevant. See the section titled “Risk Factors—Risks Relating to this Offering and Ownership of Our Securities—Because we do not anticipate paying any cash dividends on our ordinary shares in the foreseeable future, capital appreciation, if any, will be your sole source of gains and you may never receive a return on your investment.”</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the laws of England and Wales, among other things, we may only pay dividends if we have sufficient distributable reserves (as determined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320" w:top="459" w:right="5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On April 9, 2018, Arm Holdings Limited was incorporated as a wholly-owned subsidiary of Arm Limited under the laws of England and Wales with nominal assets and liabilities, contingencies and commitments. After consummating the corporate reorganization described herein, including the re-registration of Arm Holdings Limited as a public limited company, Arm Holdings plc became the ultimate holding company for Arm Limited. Arm Limited in turn was incorporated as a private company with limited liability under the laws of England and Wales on November 12, 1990.</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Arm Holdings plc is a holding company which, since formation, has not conducted any operations other than activities incidental to the maintenance of its legal existence, the corporate reorganization and this offering. Investors in this offering will only acquire, and this prospectus only describes the offering of, ADSs representing ordinary shares of Arm Holdings plc. Ordinary shares of Arm Holdings plc will not be offered to investors as part of this offering.</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corporate reorganization took place in several steps, all of which were completed prior to the completion of this offering. We refer to these steps, which are discussed below, as our “corporate reorganization.”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the Articles of Association of, and First Reorganization of Share Capital of, Arm Holdings Limited</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On , 2023, Arm Holdings Limited amended its articles of association to permit its merger reserve to legally be used to pay up the shares allotted as a bonus issue, and to allow the creation of a new class of deferred shares (which carry no or extremely limited voting rights, and no right to</w:t>
      </w:r>
    </w:p>
    <w:p>
      <w:pPr>
        <w:ind w:left="120" w:right="300"/>
        <w:spacing w:after="0" w:line="260" w:lineRule="auto"/>
        <w:rPr>
          <w:sz w:val="20"/>
          <w:szCs w:val="20"/>
          <w:color w:val="auto"/>
        </w:rPr>
      </w:pPr>
      <w:r>
        <w:rPr>
          <w:rFonts w:ascii="Arial" w:cs="Arial" w:eastAsia="Arial" w:hAnsi="Arial"/>
          <w:sz w:val="18"/>
          <w:szCs w:val="18"/>
          <w:color w:val="auto"/>
        </w:rPr>
        <w:t>share in the income or capital of Arm Holdings Limited). On , 2023, Arm Holdings Limited undertook a reorganization of its share capital to sub-divide its share capital of 100 ordinary shares of £1.00 each into 100,000 ordinary shares of £0.001 each.</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of Ordinary Shares of Arm Holdings Limited by Arm Limited</w:t>
      </w:r>
    </w:p>
    <w:p>
      <w:pPr>
        <w:spacing w:after="0" w:line="121"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 2023, Arm Limited distributed 75,010 ordinary shares of £0.001 each in the capital of Arm Holdings Limited to Kronos II LLC, and</w:t>
      </w:r>
    </w:p>
    <w:p>
      <w:pPr>
        <w:spacing w:after="0" w:line="4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24,990 ordinary shares of £0.001 each in the capital of Arm Holdings Limited to SVF HoldCo (UK) Limited (such number of shares together constituting 100% of the ordinary shares of Arm Holdings Limited). Immediately prior to the distribution, Kronos II LLC and SVF HoldCo (UK) Limited were the shareholders of Arm Limited, and the distribution of shares in Arm Holdings Limited was made in the approximate proportion to the shareholding of Kronos II LLC and SVF HoldCo (UK) Limited in Arm Limited. We refer to the shares of Arm Holdings Limited distributed to each of Kronos II LLC and SVF HoldCo (UK) Limited as the “Dividend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Ordinary Shares of Arm Limited for Shares of Arm Holdings Limited</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Following the completion of the distribution of the Dividend Shares, on , 2023, Kronos II LLC transferred its entire shareholding in the capital of Arm Limited, being 769,029,000 ordinary shares of £0.001 each, to Arm Holdings Limited in exchange for receiving 768,953,990 newly issued ordinary shares of £0.001 each in the capital of Arm Holdings Limited, and SVF HoldCo (UK) Limited transferred its entire shareholding in the capital of Arm Limited, being 256,205,000 ordinary shares of £0.001 each, to Arm Holdings Limited in exchange for receiving 256,180,010 newly issued ordinary shares of £0.001 each in the capital of Arm Holdings Limited. We refer to this as the “Share Exchange.” Following the Share Exchange, the former holders of shares in Arm Limited now hold shares in Arm Holdings Limited of the same class and in the same proportions as their previous shareholdings in Arm Limited. Arm Limited became a wholly-owned subsidiary of Arm Holdings Limited as a result of the Share Exchange. As a result of the Share Exchange, an English company law merger reserve in Arm Holdings Limited was created.</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Bonus Issue of Arm Holdings Limited</w:t>
      </w:r>
    </w:p>
    <w:p>
      <w:pPr>
        <w:spacing w:after="0" w:line="121" w:lineRule="exact"/>
        <w:rPr>
          <w:sz w:val="20"/>
          <w:szCs w:val="20"/>
          <w:color w:val="auto"/>
        </w:rPr>
      </w:pPr>
    </w:p>
    <w:p>
      <w:pPr>
        <w:ind w:left="560"/>
        <w:spacing w:after="0"/>
        <w:tabs>
          <w:tab w:leader="none" w:pos="4920" w:val="left"/>
        </w:tabs>
        <w:rPr>
          <w:sz w:val="20"/>
          <w:szCs w:val="20"/>
          <w:color w:val="auto"/>
        </w:rPr>
      </w:pPr>
      <w:r>
        <w:rPr>
          <w:rFonts w:ascii="Arial" w:cs="Arial" w:eastAsia="Arial" w:hAnsi="Arial"/>
          <w:sz w:val="18"/>
          <w:szCs w:val="18"/>
          <w:color w:val="auto"/>
        </w:rPr>
        <w:t>Following the completion of the Share Exchange, on</w:t>
      </w:r>
      <w:r>
        <w:rPr>
          <w:sz w:val="20"/>
          <w:szCs w:val="20"/>
          <w:color w:val="auto"/>
        </w:rPr>
        <w:tab/>
      </w:r>
      <w:r>
        <w:rPr>
          <w:rFonts w:ascii="Arial" w:cs="Arial" w:eastAsia="Arial" w:hAnsi="Arial"/>
          <w:sz w:val="16"/>
          <w:szCs w:val="16"/>
          <w:color w:val="auto"/>
        </w:rPr>
        <w:t>, 2023, Arm Holdings Limited capitalized a portion of the amount standing to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credit of its merger reserve and applied such sums in paying up in full new ordinary shares to its shareholders, which we refer to as the “First Bonus</w:t>
      </w:r>
    </w:p>
    <w:p>
      <w:pPr>
        <w:spacing w:after="0" w:line="32" w:lineRule="exact"/>
        <w:rPr>
          <w:sz w:val="20"/>
          <w:szCs w:val="20"/>
          <w:color w:val="auto"/>
        </w:rPr>
      </w:pPr>
    </w:p>
    <w:p>
      <w:pPr>
        <w:ind w:left="120" w:right="420"/>
        <w:spacing w:after="0" w:line="255" w:lineRule="auto"/>
        <w:rPr>
          <w:sz w:val="20"/>
          <w:szCs w:val="20"/>
          <w:color w:val="auto"/>
        </w:rPr>
      </w:pPr>
      <w:r>
        <w:rPr>
          <w:rFonts w:ascii="Arial" w:cs="Arial" w:eastAsia="Arial" w:hAnsi="Arial"/>
          <w:sz w:val="18"/>
          <w:szCs w:val="18"/>
          <w:color w:val="auto"/>
        </w:rPr>
        <w:t>Issue.” The First Bonus Issue was effected by the issuance of ordinary shares of £0.001 each to Kronos II LLC and ordinary shares of £0.001 each to SVF HoldCo (UK) Limited, in proportion to their shareholdings in Arm Holdings Limited. We refer to the shares issued pursuant to the First Bonus Issue as the “First Bonus Shares.”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Reduction of Capital of Arm Holdings Limited</w:t>
      </w:r>
    </w:p>
    <w:p>
      <w:pPr>
        <w:spacing w:after="0" w:line="121" w:lineRule="exact"/>
        <w:rPr>
          <w:sz w:val="20"/>
          <w:szCs w:val="20"/>
          <w:color w:val="auto"/>
        </w:rPr>
      </w:pPr>
    </w:p>
    <w:p>
      <w:pPr>
        <w:ind w:left="560"/>
        <w:spacing w:after="0"/>
        <w:tabs>
          <w:tab w:leader="none" w:pos="3960" w:val="left"/>
        </w:tabs>
        <w:rPr>
          <w:sz w:val="20"/>
          <w:szCs w:val="20"/>
          <w:color w:val="auto"/>
        </w:rPr>
      </w:pPr>
      <w:r>
        <w:rPr>
          <w:rFonts w:ascii="Arial" w:cs="Arial" w:eastAsia="Arial" w:hAnsi="Arial"/>
          <w:sz w:val="18"/>
          <w:szCs w:val="18"/>
          <w:color w:val="auto"/>
        </w:rPr>
        <w:t>Subsequent to the First Bonus Issue, on</w:t>
      </w:r>
      <w:r>
        <w:rPr>
          <w:sz w:val="20"/>
          <w:szCs w:val="20"/>
          <w:color w:val="auto"/>
        </w:rPr>
        <w:tab/>
      </w:r>
      <w:r>
        <w:rPr>
          <w:rFonts w:ascii="Arial" w:cs="Arial" w:eastAsia="Arial" w:hAnsi="Arial"/>
          <w:sz w:val="16"/>
          <w:szCs w:val="16"/>
          <w:color w:val="auto"/>
        </w:rPr>
        <w:t>, 2023, Arm Holdings Limited reduced its share capital by way of the cancellation of all of the</w:t>
      </w:r>
    </w:p>
    <w:p>
      <w:pPr>
        <w:spacing w:after="0" w:line="23" w:lineRule="exact"/>
        <w:rPr>
          <w:sz w:val="20"/>
          <w:szCs w:val="20"/>
          <w:color w:val="auto"/>
        </w:rPr>
      </w:pPr>
    </w:p>
    <w:p>
      <w:pPr>
        <w:ind w:left="120" w:right="40"/>
        <w:spacing w:after="0" w:line="295" w:lineRule="auto"/>
        <w:rPr>
          <w:sz w:val="20"/>
          <w:szCs w:val="20"/>
          <w:color w:val="auto"/>
        </w:rPr>
      </w:pPr>
      <w:r>
        <w:rPr>
          <w:rFonts w:ascii="Arial" w:cs="Arial" w:eastAsia="Arial" w:hAnsi="Arial"/>
          <w:sz w:val="16"/>
          <w:szCs w:val="16"/>
          <w:color w:val="auto"/>
        </w:rPr>
        <w:t>First Bonus Shares pursuant to Part 17 of the Companies Act in order to create distributable reserves, which we refer to as the “Capital Reduction.” Immediately after the Capital Reduction, Kronos II LLC and SVF HoldCo (UK) Limited held 769,029,000 ordinary shares of £0.001 each and 256,205,000 ordinary shares of £0.001 each, respectively, in the capital of Arm Holdings Limited, which we refer to as the “Post-Reduction Shares.” As a result of the cancellation of all the First Bonus Shares, English company law distributable reserves in Arm Holdings Limited were created.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Bonus Issue of Arm Holdings Limited</w:t>
      </w:r>
    </w:p>
    <w:p>
      <w:pPr>
        <w:spacing w:after="0" w:line="121" w:lineRule="exact"/>
        <w:rPr>
          <w:sz w:val="20"/>
          <w:szCs w:val="20"/>
          <w:color w:val="auto"/>
        </w:rPr>
      </w:pPr>
    </w:p>
    <w:p>
      <w:pPr>
        <w:ind w:left="560"/>
        <w:spacing w:after="0"/>
        <w:tabs>
          <w:tab w:leader="none" w:pos="5060" w:val="left"/>
        </w:tabs>
        <w:rPr>
          <w:sz w:val="20"/>
          <w:szCs w:val="20"/>
          <w:color w:val="auto"/>
        </w:rPr>
      </w:pPr>
      <w:r>
        <w:rPr>
          <w:rFonts w:ascii="Arial" w:cs="Arial" w:eastAsia="Arial" w:hAnsi="Arial"/>
          <w:sz w:val="18"/>
          <w:szCs w:val="18"/>
          <w:color w:val="auto"/>
        </w:rPr>
        <w:t>Following the completion of the Capital Reduction, on</w:t>
      </w:r>
      <w:r>
        <w:rPr>
          <w:sz w:val="20"/>
          <w:szCs w:val="20"/>
          <w:color w:val="auto"/>
        </w:rPr>
        <w:tab/>
      </w:r>
      <w:r>
        <w:rPr>
          <w:rFonts w:ascii="Arial" w:cs="Arial" w:eastAsia="Arial" w:hAnsi="Arial"/>
          <w:sz w:val="16"/>
          <w:szCs w:val="16"/>
          <w:color w:val="auto"/>
        </w:rPr>
        <w:t>, 2023, Arm Holdings Limited capitalized the remaining amount standing to the</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credit of its merger reserve and applied such sums in paying up in full new ordinary shares, which we refer to as the “Second Bonus Issue.” The Second Bonus Issue was effected by the issuance of 769,029,000 ordinary shares of £0.001 each to National City Nominees Limited as the nominee for Citibank, N.A. – London Branch pursuant to the direction of Kronos II LLC, and 256,205,000 ordinary shares of £0.001 each to National City Nominees Limited as the nominee for Citibank, N.A. – London Branch pursuant to the direction of SVF HoldCo (UK) Limited, in proportion to the shareholdings of Kronos II LLC and SVF HoldCo (UK) Limited in Arm Holdings Limited.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Reorganization of Share Capital of Arm Holdings Limited</w:t>
      </w:r>
    </w:p>
    <w:p>
      <w:pPr>
        <w:spacing w:after="0" w:line="121" w:lineRule="exact"/>
        <w:rPr>
          <w:sz w:val="20"/>
          <w:szCs w:val="20"/>
          <w:color w:val="auto"/>
        </w:rPr>
      </w:pPr>
    </w:p>
    <w:p>
      <w:pPr>
        <w:ind w:left="560"/>
        <w:spacing w:after="0"/>
        <w:tabs>
          <w:tab w:leader="none" w:pos="5480" w:val="left"/>
        </w:tabs>
        <w:rPr>
          <w:sz w:val="20"/>
          <w:szCs w:val="20"/>
          <w:color w:val="auto"/>
        </w:rPr>
      </w:pPr>
      <w:r>
        <w:rPr>
          <w:rFonts w:ascii="Arial" w:cs="Arial" w:eastAsia="Arial" w:hAnsi="Arial"/>
          <w:sz w:val="18"/>
          <w:szCs w:val="18"/>
          <w:color w:val="auto"/>
        </w:rPr>
        <w:t>Subsequent to the completion of the Second Bonus Issue, on</w:t>
      </w:r>
      <w:r>
        <w:rPr>
          <w:sz w:val="20"/>
          <w:szCs w:val="20"/>
          <w:color w:val="auto"/>
        </w:rPr>
        <w:tab/>
      </w:r>
      <w:r>
        <w:rPr>
          <w:rFonts w:ascii="Arial" w:cs="Arial" w:eastAsia="Arial" w:hAnsi="Arial"/>
          <w:sz w:val="16"/>
          <w:szCs w:val="16"/>
          <w:color w:val="auto"/>
        </w:rPr>
        <w:t>, 2023, Arm Holdings Limited undertook a second reorganization of its share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 to re-designate all of the Post-Reduction Shares as deferred shares of £0.001 each on a one-for-one basis, which we refer to as the “Second</w:t>
      </w:r>
    </w:p>
    <w:p>
      <w:pPr>
        <w:spacing w:after="0" w:line="3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Reorganization of Share Capital.” On , 2023, Arm Holdings Limited repurchased these deferred shares for nominal consideration and cancelled such deferred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Re-registration of Arm Holdings Limited as a Public Limited Company</w:t>
      </w:r>
    </w:p>
    <w:p>
      <w:pPr>
        <w:spacing w:after="0" w:line="121" w:lineRule="exact"/>
        <w:rPr>
          <w:sz w:val="20"/>
          <w:szCs w:val="20"/>
          <w:color w:val="auto"/>
        </w:rPr>
      </w:pPr>
    </w:p>
    <w:p>
      <w:pPr>
        <w:ind w:left="560"/>
        <w:spacing w:after="0"/>
        <w:tabs>
          <w:tab w:leader="none" w:pos="6640" w:val="left"/>
        </w:tabs>
        <w:rPr>
          <w:sz w:val="20"/>
          <w:szCs w:val="20"/>
          <w:color w:val="auto"/>
        </w:rPr>
      </w:pPr>
      <w:r>
        <w:rPr>
          <w:rFonts w:ascii="Arial" w:cs="Arial" w:eastAsia="Arial" w:hAnsi="Arial"/>
          <w:sz w:val="18"/>
          <w:szCs w:val="18"/>
          <w:color w:val="auto"/>
        </w:rPr>
        <w:t>Following the completion of the Second Reorganization of Share Capital, on</w:t>
      </w:r>
      <w:r>
        <w:rPr>
          <w:sz w:val="20"/>
          <w:szCs w:val="20"/>
          <w:color w:val="auto"/>
        </w:rPr>
        <w:tab/>
      </w:r>
      <w:r>
        <w:rPr>
          <w:rFonts w:ascii="Arial" w:cs="Arial" w:eastAsia="Arial" w:hAnsi="Arial"/>
          <w:sz w:val="16"/>
          <w:szCs w:val="16"/>
          <w:color w:val="auto"/>
        </w:rPr>
        <w:t>, 2023, Arm Holdings Limited re-registered as a public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limited company under the laws of England and Wales and changed its name from Arm Holdings Limited to Arm Holdings plc.</w:t>
      </w:r>
    </w:p>
    <w:p>
      <w:pPr>
        <w:spacing w:after="0" w:line="21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Certain special resolutions passed by the shareholders of Arm Holdings Limited approved the re-registration as a public limited company, the name change to Arm Holdings plc and the adoption of new articles of association for Arm Holdings plc appropriate for a public limited company.</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2023:</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 derived from our audited financial statements included elsewhere in this prospectus;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an as adjusted basis to give effect to the corporate reorganization and the vesting of equity awards in connection with this offering.</w:t>
      </w:r>
    </w:p>
    <w:p>
      <w:pPr>
        <w:spacing w:after="0" w:line="24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information together with our audited financial statements and related notes appearing elsewhere in this prospectus and the information set forth under the sections titled “Presentation of Financial and Other Information” and “Management’s Discussion and Analysis of Financial Condition and Results of Operations.”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180"/>
              <w:spacing w:after="0"/>
              <w:rPr>
                <w:sz w:val="20"/>
                <w:szCs w:val="20"/>
                <w:color w:val="auto"/>
              </w:rPr>
            </w:pPr>
            <w:r>
              <w:rPr>
                <w:rFonts w:ascii="Arial" w:cs="Arial" w:eastAsia="Arial" w:hAnsi="Arial"/>
                <w:sz w:val="14"/>
                <w:szCs w:val="14"/>
                <w:color w:val="auto"/>
                <w:w w:val="94"/>
              </w:rPr>
              <w:t>As of March 31, 2023</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Actual</w:t>
            </w:r>
          </w:p>
        </w:tc>
        <w:tc>
          <w:tcPr>
            <w:tcW w:w="1380" w:type="dxa"/>
            <w:vAlign w:val="bottom"/>
            <w:tcBorders>
              <w:top w:val="single" w:sz="8" w:color="auto"/>
              <w:bottom w:val="single" w:sz="8" w:color="auto"/>
            </w:tcBorders>
            <w:gridSpan w:val="2"/>
          </w:tcPr>
          <w:p>
            <w:pPr>
              <w:ind w:left="660"/>
              <w:spacing w:after="0" w:line="142" w:lineRule="exact"/>
              <w:rPr>
                <w:sz w:val="20"/>
                <w:szCs w:val="20"/>
                <w:color w:val="auto"/>
              </w:rPr>
            </w:pPr>
            <w:r>
              <w:rPr>
                <w:rFonts w:ascii="Arial" w:cs="Arial" w:eastAsia="Arial" w:hAnsi="Arial"/>
                <w:sz w:val="14"/>
                <w:szCs w:val="14"/>
                <w:color w:val="auto"/>
                <w:w w:val="93"/>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gridSpan w:val="3"/>
          </w:tcPr>
          <w:p>
            <w:pPr>
              <w:jc w:val="center"/>
              <w:ind w:right="30"/>
              <w:spacing w:after="0" w:line="123" w:lineRule="exact"/>
              <w:rPr>
                <w:sz w:val="20"/>
                <w:szCs w:val="20"/>
                <w:color w:val="auto"/>
              </w:rPr>
            </w:pPr>
            <w:r>
              <w:rPr>
                <w:rFonts w:ascii="Arial" w:cs="Arial" w:eastAsia="Arial" w:hAnsi="Arial"/>
                <w:sz w:val="14"/>
                <w:szCs w:val="14"/>
                <w:color w:val="auto"/>
                <w:w w:val="96"/>
              </w:rPr>
              <w:t>(in millions except par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200"/>
              <w:spacing w:after="0"/>
              <w:rPr>
                <w:sz w:val="20"/>
                <w:szCs w:val="20"/>
                <w:color w:val="auto"/>
              </w:rPr>
            </w:pPr>
            <w:r>
              <w:rPr>
                <w:rFonts w:ascii="Arial" w:cs="Arial" w:eastAsia="Arial" w:hAnsi="Arial"/>
                <w:sz w:val="14"/>
                <w:szCs w:val="14"/>
                <w:color w:val="auto"/>
                <w:w w:val="90"/>
              </w:rPr>
              <w:t>value and per share data)</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Equity attributable to owners of the Company:</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Ordinary shares, $0.001 par value, 1,025,234,000 shares authorized, issued and</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March 31, 2023</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1,216</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6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capitalization</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5,605</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4640"/>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prospectus.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“Risk Factors” and “Special Note Regarding Forward-Looking Statements” sections in this prospectus. Our actual results could differ materially from the results described in or implied by these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Arm architects, develops, and licenses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enable any company to make a modern computer chip through the unique combination of our energy-efficient CPU IP and related technologies and our unmatched ecosystem of technology partners. 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Our partners include leading semiconductor technology suppliers (including foundries and EDA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8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The exponential rise in smart devices in both consumer and enterprise markets has increased the demand for chips that provide more computational capability while optimizing for energy efficiency. This trend has driven the dramatic growth of Arm CPUs over the past several years. The scale of our reach continues to expand, with more than 30 billion Arm-based chips reported as shipped in the fiscal year ended March 31, 2023 alone, representing an approximately 70% increase since the fiscal year ended March 31, 2016.</w:t>
      </w:r>
    </w:p>
    <w:p>
      <w:pPr>
        <w:spacing w:after="0" w:line="164"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creation of the Arm CPU architecture, the world’s most widely used CPU architecture, has resulted in the proliferation and evolution of computers as people know them today.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As a result, in the fiscal year ended March 31, 2023, more than 260 companies reported that they had shipped Arm-based chips, and we estimate that approximately 70% of the world’s population uses Arm-based products.</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long-standing, significant market share in high-value markets, such as mobile applications processors, which enables us to invest in other growth opportunities. Our long-term growth strategy includes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expanding our market share in growth markets, including cloud compute, networking equipment, automotive and consumer electronics. We believe that the increasing need for high-powered and energy-efficient computing, as well as our continued investments, will enable us to grow our share in these segments. We also intend to expand our system IP and platform product offerings by continuing to develop a broader set of systems IP specifically developed for use with Arm processors. Across all our end markets and products, we believe that, as chip designs become more advanced and complex, our investments in additional functionality, higher performance, higher efficiency, and more specialized designs will allow us to deliver more value to our partners.</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achieved significant growth since our inception. For our fiscal years ended March 31, 2023, 2022 and 2021, our total revenue was $2,679 million, $2,703 million and $2,027 million, respectively. Over that same period, net income from continuing operations was $524 million, $676 million and $544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w:t>
      </w:r>
    </w:p>
    <w:p>
      <w:pPr>
        <w:spacing w:after="0" w:line="67" w:lineRule="exact"/>
        <w:rPr>
          <w:sz w:val="20"/>
          <w:szCs w:val="20"/>
          <w:color w:val="auto"/>
        </w:rPr>
      </w:pPr>
    </w:p>
    <w:p>
      <w:pPr>
        <w:ind w:left="108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Arm Total Access Agreements</w:t>
      </w:r>
      <w:r>
        <w:rPr>
          <w:rFonts w:ascii="Arial" w:cs="Arial" w:eastAsia="Arial" w:hAnsi="Arial"/>
          <w:sz w:val="18"/>
          <w:szCs w:val="18"/>
          <w:color w:val="auto"/>
        </w:rPr>
        <w:t>: Under an Arm Total Access agreement, we license a portfolio of CPU designs and related technologies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spacing w:after="0" w:line="92" w:lineRule="exact"/>
        <w:rPr>
          <w:rFonts w:ascii="Arial" w:cs="Arial" w:eastAsia="Arial" w:hAnsi="Arial"/>
          <w:sz w:val="18"/>
          <w:szCs w:val="18"/>
          <w:color w:val="auto"/>
        </w:rPr>
      </w:pPr>
    </w:p>
    <w:p>
      <w:pPr>
        <w:ind w:left="1080" w:right="160" w:hanging="424"/>
        <w:spacing w:after="0" w:line="25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Arm Flexible Access Agreements</w:t>
      </w:r>
      <w:r>
        <w:rPr>
          <w:rFonts w:ascii="Arial" w:cs="Arial" w:eastAsia="Arial" w:hAnsi="Arial"/>
          <w:sz w:val="18"/>
          <w:szCs w:val="18"/>
          <w:color w:val="auto"/>
        </w:rPr>
        <w:t>: Under an Arm Flexible Access agreement, we license a portfolio of CPU designs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spacing w:after="0" w:line="10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Licensing Agreements (TLA)</w:t>
      </w:r>
      <w:r>
        <w:rPr>
          <w:rFonts w:ascii="Arial" w:cs="Arial" w:eastAsia="Arial" w:hAnsi="Arial"/>
          <w:sz w:val="18"/>
          <w:szCs w:val="18"/>
          <w:color w:val="auto"/>
        </w:rPr>
        <w:t>: Under a TLA, we license a single CPU design or other technology design to a customer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 for a fixed license fee. The license may be limited by term (</w:t>
      </w:r>
      <w:r>
        <w:rPr>
          <w:rFonts w:ascii="Arial" w:cs="Arial" w:eastAsia="Arial" w:hAnsi="Arial"/>
          <w:sz w:val="18"/>
          <w:szCs w:val="18"/>
          <w:i w:val="1"/>
          <w:iCs w:val="1"/>
          <w:color w:val="auto"/>
        </w:rPr>
        <w:t>i.e.,</w:t>
      </w:r>
      <w:r>
        <w:rPr>
          <w:rFonts w:ascii="Arial" w:cs="Arial" w:eastAsia="Arial" w:hAnsi="Arial"/>
          <w:sz w:val="18"/>
          <w:szCs w:val="18"/>
          <w:color w:val="auto"/>
        </w:rPr>
        <w:t xml:space="preserve"> the number of years during which the licensee is entitled to incorporate our products in new chip designs, but licensees typically have the right to manufacture designs perpetually) and/or by number of uses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number of concurrent chip designs that may use our products).</w:t>
      </w:r>
    </w:p>
    <w:p>
      <w:pPr>
        <w:spacing w:after="0" w:line="92"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Architecture License Agreements (ALA)</w:t>
      </w:r>
      <w:r>
        <w:rPr>
          <w:rFonts w:ascii="Arial" w:cs="Arial" w:eastAsia="Arial" w:hAnsi="Arial"/>
          <w:sz w:val="17"/>
          <w:szCs w:val="17"/>
          <w:color w:val="auto"/>
        </w:rPr>
        <w:t>: Under an ALA, the licensee is allowed to develop their own highly customized CPU designs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compliant with the Arm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spacing w:after="0" w:line="76"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Royalty Fees: </w:t>
      </w:r>
      <w:r>
        <w:rPr>
          <w:rFonts w:ascii="Arial" w:cs="Arial" w:eastAsia="Arial" w:hAnsi="Arial"/>
          <w:sz w:val="18"/>
          <w:szCs w:val="18"/>
          <w:color w:val="auto"/>
        </w:rPr>
        <w:t>We generate the majority of our revenue from customers who enter into license agreements, pursuant to which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royalty fees based on average selling price of the customer’s Arm-based chip or a fixed fee per chip. Royalty revenues are impacted primarily by the adoption of our products by the licensee as well as other factors, such as product lifecycles, customer’s business performance, market trends and global supply constraints. In the fiscal year ended March 31, 2023, royalty revenue represented 63% of our total revenue.</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Historically, most customers licensed our products under the terms of a TLA. In 2019 and 2021, we introduced the Arm Flexible Access and Arm Total Access agreements, respectively, to enable the widest range of customers to access our products through methods best suited to their particular business needs. We believe that the Arm Total Access and Arm Flexible Access agreements provide enhanced flexibility for our customers (as compared to the TLA business model) and increase the number of chip designs using our products. While certain customers will elect to remain TLA customers, some customers are in the process of transitioning from TLAs to Arm Total Access and Arm Flexible Access agreements. We may experience variability in license revenues due to the timing of product deliveries within each TLA, Arm Total Access and Arm Flexible Access agreement. However, because Arm Total Access and Arm Flexible Access agreements are renewable in nature, as customers transition away from TLAs, we expect our visibility into future license revenues to improve.</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typically are able to command a royalty for chips that contain our products, which creates a long-term recurring revenue opportunity from each design win. We typically see sustained revenue streams from older chips, as products containing those chips continue to be sold and older processors are incorporated into new chips, creating a cumulative effect that fuels long-term growth. For example, based on royalty revenue information provided to us by customers in quarterly royalty reports, approximately 46% of our royalty revenue for the fiscal year ended March 31, 2023 came from products released between 1990 to 2012. Additionally, as we transition to more Arm Total Access and Arm Flexible Access licenses, we expect more of our products to be incorporated into more of our customers’ chip designs, and our royalty revenue to increase over time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130810</wp:posOffset>
            </wp:positionV>
            <wp:extent cx="5203190" cy="2374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0319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and Trends Affecting Our Operating Results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in the section titled “Risk Factors” and elsewhere in this prospectus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Demand for Semiconductor Products and Cyclical Nature of the Semiconductor Industry</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Semiconductor chips are essential components in consumer, enterprise, and automotive electronics, which has resulted in sustained and increasing long-term demand for semiconductor chips, a significant percentage of which contain our products. Our license and royalty revenues are, in part, affected by market conditions in the semiconductor industry, which is cyclical by nature and impacted by broad economic factors, such as worldwide</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Share Across End Markets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For the year ended December 31, 2022, we had a greater than 99% share of the smartphones market and a very high share in a range of other electronic devices, from digital TVs to drones. As new high-growth markets for electronics emerge and incorporate more AI and ML workloads, they require our more advanced processor designs in areas such as cloud computing, the automotive industry, and the IoT economy. Our operating and financial performance is dependent, in large part, upon maintaining our market share in the smartphone and consumer electronics markets and maintaining or growing market share in our other target markets.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Provide Our Customers with More Value Per Chip</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believe our ability to continue to develop more advanced products and offer increasingly comprehensive product packages, including providing more complete subsystems, will encourage greater use of our products by existing and prospective customers. For example, some licensees may combine multiple different Arm CPUs in a single chip, Arm CPUs with other Arm IP such as Arm GPUs, or deploy Arm CPU implementations with more than 100 cores. Some customers may be better served by the integration of our IP into a subsystem with additional information to assist in fabrication.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Increasing Design Wins with Existing and Prospective Customers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in the past and will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R&amp;D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of Arm China</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depend on our commercial relationship with Arm China to access the PRC market, and a significant portion of our total revenue is generated from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For additional information regarding the IPLA, see “Business—The IPLA with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Royalties in our financial statements. Despite our significant reliance on Arm China through our commercial relationship with them,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For the fiscal year ended March 31, 2023, although our total revenues derived from the PRC increased as compared to the prior year, the growth in our royalty revenues slowed for the same period primarily as a result of economic issues in the PRC and factors related to export control and national security matters. Furthermore, in light of these issues, we expect to continue to see declining royalty revenues derived from the PRC and we could see a decline in licensing revenues. See “Risk Factors—Risks Relating to Our Business and Industry— 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in Export Control Regulations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October 2022, the BIS of the U.S. Department of Commerce published changes to U.S. export control regulations that restrict the PRC’s semiconductor and supercomputing industries’ ability to obtain advanced computing chips, as well as software, hardware, equipment, and technology used to develop and maintain supercomputers and manufacture advanced semiconductors. We have been impacted by the implementation in October 2022 of rules by the BIS, which principally relate to (i) implementing new process requirements that require licensees to disclose semiconductor manufacturing facilities used for manufacturing Arm-based integrated circuit designs; and (ii) controlling previously non-controlled Arm interconnect IP as well as releasing a modified version of such IP that does not exceed the BIS performance thresholds for the PRC. We anticipate additional changes to U.S. export control regulations in the future, but we cannot forecast the scope or timing of such changes. We will continue to monitor such developments, including potential additional trade restrictions, and other regulatory or policy changes by the U.S. and foreign governments.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Current Macroeconomic Environment and Geopolitical Events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Uncertainty in the macroeconomic environment, resulting from a range of events and trends, including the recent financial institution failures, rise in global inflation and interest rates, supply chain disruptions, geopolitical pressures, including the unknown impact of current and future U.S. and PRC trade regulations, changes in PRC-Taiwan relations, the 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semiconductor manufacturing. Furthermore, given the concentration of semiconductor manufacturing in East Asia (particularly in Taiwan), any potential escalation</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geopolitical tensions in Asia, particularly with respect to Taiwan, could significantly disrupt existing semiconductor chip manufacturing and increase the prospect of increased interruption to the semiconductor chip supply across the world.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Technology and Product Development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To remain competitive, we must continue to develop new applications and enhancements to our existing products and services, particularly as next generation technology is adopted by market participants. Allocating and maintaining adequate research and development resources, such as the appropriate personnel and development technology, to meet the evolving demands of the market is essential to our continued success.</w:t>
      </w:r>
    </w:p>
    <w:p>
      <w:pPr>
        <w:spacing w:after="0" w:line="273" w:lineRule="exact"/>
        <w:rPr>
          <w:sz w:val="20"/>
          <w:szCs w:val="20"/>
          <w:color w:val="auto"/>
        </w:rPr>
      </w:pPr>
    </w:p>
    <w:p>
      <w:pPr>
        <w:jc w:val="right"/>
        <w:ind w:right="8620"/>
        <w:spacing w:after="0"/>
        <w:rPr>
          <w:sz w:val="20"/>
          <w:szCs w:val="20"/>
          <w:color w:val="auto"/>
        </w:rPr>
      </w:pPr>
      <w:r>
        <w:rPr>
          <w:rFonts w:ascii="Arial" w:cs="Arial" w:eastAsia="Arial" w:hAnsi="Arial"/>
          <w:sz w:val="16"/>
          <w:szCs w:val="16"/>
          <w:b w:val="1"/>
          <w:bCs w:val="1"/>
          <w:i w:val="1"/>
          <w:iCs w:val="1"/>
          <w:color w:val="auto"/>
        </w:rPr>
        <w:t>Recent Events and Transactions</w:t>
      </w:r>
    </w:p>
    <w:p>
      <w:pPr>
        <w:spacing w:after="0" w:line="140" w:lineRule="exact"/>
        <w:rPr>
          <w:sz w:val="20"/>
          <w:szCs w:val="20"/>
          <w:color w:val="auto"/>
        </w:rPr>
      </w:pPr>
    </w:p>
    <w:p>
      <w:pPr>
        <w:jc w:val="right"/>
        <w:ind w:right="8580"/>
        <w:spacing w:after="0"/>
        <w:rPr>
          <w:sz w:val="20"/>
          <w:szCs w:val="20"/>
          <w:color w:val="auto"/>
        </w:rPr>
      </w:pPr>
      <w:r>
        <w:rPr>
          <w:rFonts w:ascii="Arial" w:cs="Arial" w:eastAsia="Arial" w:hAnsi="Arial"/>
          <w:sz w:val="18"/>
          <w:szCs w:val="18"/>
          <w:i w:val="1"/>
          <w:iCs w:val="1"/>
          <w:color w:val="auto"/>
        </w:rPr>
        <w:t>Arm China Investment Sale</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Prior to restructuring our investment in March 2022, we held an approximate 48% equity holding, accounted for as an equity method investment, in Arm China. In March 2022, we distributed our interest in Arm China to Acetone Limited, a company under control of SoftBank, our controlling shareholder, for contractual consideration of approximately $930 million. We retained a 10% non-voting shareholding interest in Acetone Limited, which represents an approximate 4.8% indirect interest in Arm China. As a result of these transactions, we recognized a net distribution to our immediate shareholders of $976 million. Our indirect equity interest in Arm China is recorded in income from equity investments, net on the Consolidated Income Statements included elsewhere in this prospectus. See “Related Party Transactions—Transactions with Associates—Arm China” for additional information regarding the sale of our equity interest in Arm China and related transactions.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Treasure Data and IoTP Disposals</w:t>
      </w:r>
    </w:p>
    <w:p>
      <w:pPr>
        <w:spacing w:after="0" w:line="117" w:lineRule="exact"/>
        <w:rPr>
          <w:sz w:val="20"/>
          <w:szCs w:val="20"/>
          <w:color w:val="auto"/>
        </w:rPr>
      </w:pPr>
    </w:p>
    <w:p>
      <w:pPr>
        <w:ind w:left="120" w:right="220" w:firstLine="440"/>
        <w:spacing w:after="0" w:line="270" w:lineRule="auto"/>
        <w:rPr>
          <w:sz w:val="20"/>
          <w:szCs w:val="20"/>
          <w:color w:val="auto"/>
        </w:rPr>
      </w:pPr>
      <w:r>
        <w:rPr>
          <w:rFonts w:ascii="Arial" w:cs="Arial" w:eastAsia="Arial" w:hAnsi="Arial"/>
          <w:sz w:val="17"/>
          <w:szCs w:val="17"/>
          <w:color w:val="auto"/>
        </w:rPr>
        <w:t>Following a strategic decision in 2021 to place greater focus on our core technology licensing business, we decided to distribute or sell certain components of our IoT business to subsidiaries of SoftBank. In June 2021, we distributed all of the equity interests in Treasure Data, Inc. and its subsidiaries (“Treasure Data”) to our shareholders, and in November 2021 we sold Pelion IOT Limited and its subsidiaries (“IoTP”) to subsidiaries of SoftBank. Treasure Data’s and IoTP’s net assets upon distribution and sale were approximately $44 million and $12 million, respectively. Upon distribution and sale, Treasure Data and IoTP qualified for classification as discontinued operations and therefore the results of operations have been reclassified to discontinued operations for all historical periods. Following the disposals we do not have significant involvement with either company. During the fiscal years ended March 31, 2022 and 2021, we recognized net losses from discontinued operations of $127 million and $156 million, respectively. Included in net losses from discontinued operations are income tax expense (benefits) from discontinued operations of $28 million and $(38) million during the fiscal years ended March 31, 2022 and 2021, respectively.</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Financial and Operating Metrics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use the following key performance indicators and non-GAAP financial measures to analyze our business performance and financial forecasts and to develop strategic plans, which we believe provide useful information to the market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 The following table sets forth a summary of the key financial and operating metrics:</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Fiscal Year Ended March 31,</w:t>
            </w: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for Number of extant Arm Total Access and Arm</w:t>
            </w:r>
          </w:p>
        </w:tc>
        <w:tc>
          <w:tcPr>
            <w:tcW w:w="1260" w:type="dxa"/>
            <w:vAlign w:val="bottom"/>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2023</w:t>
            </w:r>
          </w:p>
        </w:tc>
        <w:tc>
          <w:tcPr>
            <w:tcW w:w="10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2022</w:t>
            </w:r>
          </w:p>
        </w:tc>
        <w:tc>
          <w:tcPr>
            <w:tcW w:w="11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51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160" w:type="dxa"/>
            <w:vAlign w:val="bottom"/>
          </w:tcPr>
          <w:p>
            <w:pPr>
              <w:spacing w:after="0"/>
              <w:rPr>
                <w:sz w:val="20"/>
                <w:szCs w:val="20"/>
                <w:color w:val="auto"/>
              </w:rPr>
            </w:pPr>
            <w:r>
              <w:rPr>
                <w:rFonts w:ascii="Arial" w:cs="Arial" w:eastAsia="Arial" w:hAnsi="Arial"/>
                <w:sz w:val="14"/>
                <w:szCs w:val="14"/>
                <w:i w:val="1"/>
                <w:iCs w:val="1"/>
                <w:color w:val="auto"/>
              </w:rPr>
              <w:t>Flexible Access Licenses)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Non-GAAP operating income</w:t>
            </w:r>
            <w:r>
              <w:rPr>
                <w:rFonts w:ascii="Arial" w:cs="Arial" w:eastAsia="Arial" w:hAnsi="Arial"/>
                <w:sz w:val="25"/>
                <w:szCs w:val="25"/>
                <w:color w:val="auto"/>
                <w:vertAlign w:val="superscript"/>
              </w:rPr>
              <w:t>(1)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Non-GAAP net income from continuing operations</w:t>
            </w:r>
            <w:r>
              <w:rPr>
                <w:rFonts w:ascii="Arial" w:cs="Arial" w:eastAsia="Arial" w:hAnsi="Arial"/>
                <w:sz w:val="25"/>
                <w:szCs w:val="25"/>
                <w:color w:val="auto"/>
                <w:vertAlign w:val="superscript"/>
              </w:rPr>
              <w:t>(1)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Non-GAAP free cash flow</w:t>
            </w:r>
            <w:r>
              <w:rPr>
                <w:rFonts w:ascii="Arial" w:cs="Arial" w:eastAsia="Arial" w:hAnsi="Arial"/>
                <w:sz w:val="25"/>
                <w:szCs w:val="25"/>
                <w:color w:val="auto"/>
                <w:vertAlign w:val="superscript"/>
              </w:rPr>
              <w:t>(1)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i w:val="1"/>
                <w:iCs w:val="1"/>
                <w:color w:val="auto"/>
              </w:rPr>
              <w:t>Operating metrics:</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Number of chips shipped</w:t>
            </w:r>
            <w:r>
              <w:rPr>
                <w:rFonts w:ascii="Arial" w:cs="Arial" w:eastAsia="Arial" w:hAnsi="Arial"/>
                <w:sz w:val="25"/>
                <w:szCs w:val="25"/>
                <w:color w:val="auto"/>
                <w:vertAlign w:val="superscript"/>
              </w:rPr>
              <w:t>(2)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Arial" w:cs="Arial" w:eastAsia="Arial" w:hAnsi="Arial"/>
                <w:sz w:val="17"/>
                <w:szCs w:val="17"/>
                <w:color w:val="auto"/>
              </w:rPr>
              <w:t>Number of extant Arm Total Access licenses</w:t>
            </w:r>
            <w:r>
              <w:rPr>
                <w:rFonts w:ascii="Arial" w:cs="Arial" w:eastAsia="Arial" w:hAnsi="Arial"/>
                <w:sz w:val="25"/>
                <w:szCs w:val="25"/>
                <w:color w:val="auto"/>
                <w:vertAlign w:val="superscript"/>
              </w:rPr>
              <w:t>(2)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Number of extant Arm Flexible Access licenses</w:t>
            </w:r>
            <w:r>
              <w:rPr>
                <w:rFonts w:ascii="Arial" w:cs="Arial" w:eastAsia="Arial" w:hAnsi="Arial"/>
                <w:sz w:val="25"/>
                <w:szCs w:val="25"/>
                <w:color w:val="auto"/>
                <w:vertAlign w:val="superscript"/>
              </w:rPr>
              <w:t>(2)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5160" w:type="dxa"/>
            <w:vAlign w:val="bottom"/>
          </w:tcPr>
          <w:p>
            <w:pPr>
              <w:spacing w:after="0"/>
              <w:rPr>
                <w:sz w:val="20"/>
                <w:szCs w:val="20"/>
                <w:color w:val="auto"/>
              </w:rPr>
            </w:pPr>
            <w:r>
              <w:rPr>
                <w:rFonts w:ascii="Arial" w:cs="Arial" w:eastAsia="Arial" w:hAnsi="Arial"/>
                <w:sz w:val="18"/>
                <w:szCs w:val="18"/>
                <w:color w:val="auto"/>
              </w:rPr>
              <w:t>Annualized contract value</w:t>
            </w:r>
            <w:r>
              <w:rPr>
                <w:rFonts w:ascii="Arial" w:cs="Arial" w:eastAsia="Arial" w:hAnsi="Arial"/>
                <w:sz w:val="26"/>
                <w:szCs w:val="26"/>
                <w:color w:val="auto"/>
                <w:vertAlign w:val="superscript"/>
              </w:rPr>
              <w:t>(2)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080" w:hanging="532"/>
        <w:spacing w:after="0" w:line="254"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Non-GAAP operating income, Non-GAAP net income from continuing operations and Non-GAAP free cash flow are non-GAAP financial measures. For more information regarding our use of these measures and a reconciliation of these measures to the most directly comparable GAAP financial measures, see “—Non-GAAP Financial Measures—Reconciliation of Non-GAAP Financial Measures” below.</w:t>
      </w:r>
    </w:p>
    <w:p>
      <w:pPr>
        <w:spacing w:after="0" w:line="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the last day of the applicable period.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Chips Shipped</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quarter, most of our customers, and those contracted through Arm China, furnish us (directly or via Arm China)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w:t>
      </w:r>
    </w:p>
    <w:p>
      <w:pPr>
        <w:spacing w:after="0" w:line="18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consider the number of chips reported as shipped by our customers as a key performance indicator because it represents the acceptance of our products by companies who use chips in their products (</w:t>
      </w:r>
      <w:r>
        <w:rPr>
          <w:rFonts w:ascii="Arial" w:cs="Arial" w:eastAsia="Arial" w:hAnsi="Arial"/>
          <w:sz w:val="17"/>
          <w:szCs w:val="17"/>
          <w:i w:val="1"/>
          <w:iCs w:val="1"/>
          <w:color w:val="auto"/>
        </w:rPr>
        <w:t>e.g.,</w:t>
      </w:r>
      <w:r>
        <w:rPr>
          <w:rFonts w:ascii="Arial" w:cs="Arial" w:eastAsia="Arial" w:hAnsi="Arial"/>
          <w:sz w:val="17"/>
          <w:szCs w:val="17"/>
          <w:color w:val="auto"/>
        </w:rPr>
        <w:t xml:space="preserve"> our customers’ customers). The number of chips shipped also provides insight into chip pricing and volumes in different end markets, which helps inform our pricing models and competitive positioning.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Extant Arm Total Access and Arm Flexible Access Licenses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quarter, we track the number of extant Arm Total Access and Arm Flexible Access licenses with our customers, and those contracted through Arm China. We believe that, over time, many of our customers will</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transition to either an Arm Total Access or Arm Flexible Access license to access our products. This transition enables us and our customers to focus less on contract negotiations and more on how our products can be deployed in our customers’ future chips.</w:t>
      </w:r>
    </w:p>
    <w:p>
      <w:pPr>
        <w:spacing w:after="0" w:line="170"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We consider the number of extant Arm Total Access and Arm Flexible Access licenses as a key performance indicator as it represents the increasing collaboration between us and our customers, which could be a leading indicator to more chips being designed with our products and, accordingly, more recurring royalty revenue in the future, improving our long-term market share.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Annualized Contract Value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quarter, we track the annualized contract value (“ACV”) relating to licensing agreements signed with our customers and those contracted through Arm China per the aggregate license fee as shared under the IPLA.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TLA, are deemed to be active for, and annualized over, three years based on the historical licensing patterns of our customers. The aggregate license fee shared by Arm China is also deemed to be active for, and annualized over, three years.</w:t>
      </w:r>
    </w:p>
    <w:p>
      <w:pPr>
        <w:spacing w:after="0" w:line="19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ACV is an operational metric based on committed fees, excluding royalties, not recognized revenue, and therefore is not reconcilable to, nor a substitute for, revenue reported under U.S.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to our results determined in accordance with GAAP, we utilize and present financial measures that are not calculated and presented in accordance with GAAP. Our non-GAAP financial measures include Non-GAAP operating income, Non-GAAP net income from continuing operations, and Non-GAAP free cash flow, each of which is described below. We believe our non-GAAP financial measures are useful in evaluating our operating performance and liquidity position. We use the non-GAAP financial measures presented below, collectively, to evaluate our ongoing performance and for internal planning, forecasting and budgeting purposes.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 reconciliation of each of our non-GAAP financial measures to the most directly comparable financial measure presented in accordance with GAAP is presented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Operating Income and Non-GAAP Net Income From Continuing Operations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utilize Non-GAAP operating income and Non-GAAP net income from continuing operations for the purpose of assessing our operating performance.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40"/>
          </w:cols>
          <w:pgMar w:left="320" w:top="459" w:right="5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define Non-GAAP operating income as our GAAP operating income excluding purchased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and other operating income (expenses), net, which includes costs of COVID-19 response programs.</w:t>
      </w:r>
    </w:p>
    <w:p>
      <w:pPr>
        <w:spacing w:after="0" w:line="15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We define Non-GAAP net income from continuing operations as our GAAP net income excluding acquisition-related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other operating income (expenses), net, which includes costs of COVID-19 response programs, (income) loss from equity method investments, and income tax effect on non-GAAP adjustments. We exclude these items from our Non-GAAP operating income and Non-GAAP net income from continuing operations measure because they are non-cash in nature, or because the amount and timing of these items is unpredictable, not driven by core results of operations and renders comparisons with prior periods and competitors less meaningful. We believe Non-GAAP operating income and Non-GAAP net income from continuing operations provide useful information to investors and others in understanding and evaluating our results of operations, as well as provides a useful measure for period-to-period comparisons of our business performance. Moreover, we have included Non-GAAP operating income and Non-GAAP net income from continuing operations in this prospectus because they are key measurements used by our management internally to make operating decisions, including those related to analyzing operating expenses, evaluating performance, and performing strategic planning and annual budgeting.</w:t>
      </w:r>
    </w:p>
    <w:p>
      <w:pPr>
        <w:spacing w:after="0" w:line="16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Non-GAAP operating income and Non-GAAP net income from continuing operations have limitations as financial measures, should be considered as supplemental in nature, and are not meant as a substitute for the related financial information prepared in accordance with GAAP. These limitations include the following:</w:t>
      </w:r>
    </w:p>
    <w:p>
      <w:pPr>
        <w:spacing w:after="0" w:line="89" w:lineRule="exact"/>
        <w:rPr>
          <w:sz w:val="20"/>
          <w:szCs w:val="20"/>
          <w:color w:val="auto"/>
        </w:rPr>
      </w:pPr>
    </w:p>
    <w:p>
      <w:pPr>
        <w:ind w:left="1080" w:right="40" w:hanging="424"/>
        <w:spacing w:after="0" w:line="30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Non-GAAP operating income and Non-GAAP net income from continuing operations exclude certain recurring, non-cash charges, such as acquisition-related intangible asset amortization, and although these are non-cash charges, the assets being amortized contribute to revenue generation and may have to be replaced in the future. Non-GAAP operating income and Non-GAAP net income from continuing operations do not reflect all cash requirements for such replacements or for new capital expenditure requirements; and</w:t>
      </w:r>
    </w:p>
    <w:p>
      <w:pPr>
        <w:spacing w:after="0" w:line="62" w:lineRule="exact"/>
        <w:rPr>
          <w:rFonts w:ascii="Arial" w:cs="Arial" w:eastAsia="Arial" w:hAnsi="Arial"/>
          <w:sz w:val="16"/>
          <w:szCs w:val="16"/>
          <w:color w:val="auto"/>
        </w:rPr>
      </w:pPr>
    </w:p>
    <w:p>
      <w:pPr>
        <w:ind w:left="1080" w:right="60" w:hanging="424"/>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Non-GAAP operating income and Non-GAAP net income from continuing operations exclude share-based compensation expense associated with equity awards where our intent is to issue equity upon vesting (in lieu of cash settlement) following the occurrence of an initial public offering or change in control. Share-based compensation expense has been, and will continue to be for the foreseeable future, a significant recurring expense in our business and an important part of our compensation strategy.</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Because of these limitations, you should consider Non-GAAP operating income and Non-GAAP net income from continuing operations alongside other financial performance measures, including operating income, net income and our other GAAP results. For more information regarding our use of these measures and a reconciliation to the most directly comparable GAAP financial measure, see “—Reconciliation of Non-GAAP Financial Measures”.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Free Cash Flow</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monitor Non-GAAP free cash flow for the purpose of measuring our liquidity. We define Non-GAAP free cash flow as cash flow from operations minus capital expenditures and intangibles, offset by proceeds realized from capital disposal activities. We believe that Non-GAAP free cash flow is a meaningful indicator of</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liquidity that provides information to our management and investors about the amount of cash generated from operations, after purchases of property and equipment and purchases of intangible assets, that can be used for investment in our business and for acquisitions as well as to strengthen our balance sheet. Non-GAAP free cash flow has limitations as an analytical tool and should not be considered in isolation or as a substitute for analysis of other GAAP financial measures, such as net cash provided by operations. Non-GAAP free cash flow does not reflect our ability to meet future contractual commitments and may be calculated differently by other companies in our industry, limiting its usefulness as a comparative measure. For more information regarding our use of this measure and a reconciliation to the most directly comparable GAAP financial measure, see “— Reconciliation of Non-GAAP Financial Measures”.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Reconciliation of Non-GAAP Financial Measures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non-GAAP financial information is presented for supplemental informational purposes only, should not be considered a substitute for financial information presented in accordance with GAAP, and may be different from similarly titled non-GAAP financial measures used by other companies. A reconciliation of each non-GAAP financial measure to the most directly comparable financial measure stated in accordance with GAAP is provided below. We encourage investors and others to review our financial information in its entirety, not to rely on any single financial measure and to view the non-GAAP financial measures in conjunction with their respective related GAAP financial measures.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a reconciliation of Non-GAAP operating income to Operating income, the most directly comparable GAAP financial measure:</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Fiscal Year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6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840" w:type="dxa"/>
            <w:vAlign w:val="bottom"/>
            <w:gridSpan w:val="2"/>
          </w:tcPr>
          <w:p>
            <w:pPr>
              <w:jc w:val="center"/>
              <w:ind w:left="315"/>
              <w:spacing w:after="0" w:line="129"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2"/>
                <w:szCs w:val="12"/>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$ 671</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$ 633</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Adjusted for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intangible asset amortization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Share-based compensation expense (equity settled)</w:t>
            </w:r>
            <w:r>
              <w:rPr>
                <w:rFonts w:ascii="Arial" w:cs="Arial" w:eastAsia="Arial" w:hAnsi="Arial"/>
                <w:sz w:val="25"/>
                <w:szCs w:val="25"/>
                <w:color w:val="auto"/>
                <w:vertAlign w:val="superscript"/>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associated with disposal activities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2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and related costs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360"/>
              <w:spacing w:after="0"/>
              <w:rPr>
                <w:sz w:val="20"/>
                <w:szCs w:val="20"/>
                <w:color w:val="auto"/>
              </w:rPr>
            </w:pPr>
            <w:r>
              <w:rPr>
                <w:rFonts w:ascii="Arial" w:cs="Arial" w:eastAsia="Arial" w:hAnsi="Arial"/>
                <w:sz w:val="18"/>
                <w:szCs w:val="18"/>
                <w:color w:val="auto"/>
              </w:rPr>
              <w:t>Public company readiness costs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$ 783</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96"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share-based compensation expense, including both cash and equity settled awards, was $326 million, $26 million and $54 million for the fiscal years ended March 31, 2023, 2022 and 2021, respectively. In the fiscal year ended March 31, 2022, the equity-settled share-based compensation expense of $30 million was more than the total share-based compensation expense of $26 million due to liability-settled share-based compensation expense credits primarily attributable to executive departures. Liability-classified awards are remeasured at the end of each reporting period through the date of settlement to ensure that the expense recognized for each award is equivalent to the amount to be paid in cash.</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is a reconciliation of Non-GAAP net income from continuing operations to Net income from continuing operations, the most directly comparable GAAP financial measure: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For the Fiscal Year Ended</w:t>
            </w:r>
          </w:p>
        </w:tc>
        <w:tc>
          <w:tcPr>
            <w:tcW w:w="0" w:type="dxa"/>
            <w:vAlign w:val="bottom"/>
          </w:tcPr>
          <w:p>
            <w:pPr>
              <w:spacing w:after="0"/>
              <w:rPr>
                <w:sz w:val="1"/>
                <w:szCs w:val="1"/>
                <w:color w:val="auto"/>
              </w:rPr>
            </w:pPr>
          </w:p>
        </w:tc>
      </w:t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0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6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from continuing operations</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$ 524</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$ 676</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$ 544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i w:val="1"/>
                <w:iCs w:val="1"/>
                <w:color w:val="auto"/>
              </w:rPr>
              <w:t>Adjusted for: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intangible asset amortization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Share-based compensation expense (equity settled)</w:t>
            </w:r>
            <w:r>
              <w:rPr>
                <w:rFonts w:ascii="Arial" w:cs="Arial" w:eastAsia="Arial" w:hAnsi="Arial"/>
                <w:sz w:val="25"/>
                <w:szCs w:val="25"/>
                <w:color w:val="auto"/>
                <w:vertAlign w:val="superscript"/>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associated with disposal activities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rPr>
                <w:sz w:val="20"/>
                <w:szCs w:val="20"/>
                <w:color w:val="auto"/>
              </w:rPr>
            </w:pPr>
            <w:r>
              <w:rPr>
                <w:rFonts w:ascii="Arial" w:cs="Arial" w:eastAsia="Arial" w:hAnsi="Arial"/>
                <w:sz w:val="18"/>
                <w:szCs w:val="18"/>
                <w:color w:val="auto"/>
              </w:rPr>
              <w:t>Gain on disposal of business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rPr>
                <w:sz w:val="20"/>
                <w:szCs w:val="20"/>
                <w:color w:val="auto"/>
              </w:rPr>
            </w:pPr>
            <w:r>
              <w:rPr>
                <w:rFonts w:ascii="Arial" w:cs="Arial" w:eastAsia="Arial" w:hAnsi="Arial"/>
                <w:sz w:val="18"/>
                <w:szCs w:val="18"/>
                <w:color w:val="auto"/>
              </w:rPr>
              <w:t>Restructuring and related costs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Public company readiness costs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from equity method investments, net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6820" w:type="dxa"/>
            <w:vAlign w:val="bottom"/>
            <w:gridSpan w:val="2"/>
          </w:tcPr>
          <w:p>
            <w:pPr>
              <w:ind w:left="720"/>
              <w:spacing w:after="0"/>
              <w:rPr>
                <w:sz w:val="20"/>
                <w:szCs w:val="20"/>
                <w:color w:val="auto"/>
              </w:rPr>
            </w:pPr>
            <w:r>
              <w:rPr>
                <w:rFonts w:ascii="Arial" w:cs="Arial" w:eastAsia="Arial" w:hAnsi="Arial"/>
                <w:sz w:val="18"/>
                <w:szCs w:val="18"/>
                <w:color w:val="auto"/>
              </w:rPr>
              <w:t>Pre-tax total non-GAAP adjustments</w:t>
            </w: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effects on non-GAAP adjustments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Non-GAAP net income from continuing operations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$ 657</w:t>
            </w:r>
          </w:p>
        </w:tc>
        <w:tc>
          <w:tcPr>
            <w:tcW w:w="5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$ 663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96"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Total share-based compensation expense, including both cash and equity settled awards, was $326 million, $26 million and $54 million for the fiscal years ended March 31, 2023, 2022 and 2021, respectively. In the fiscal year ended March 31, 2022, the equity-settled share-based compensation expense of $30 million was more than the total share-based compensation expense of $26 million due to liability-settled share-based compensation expense credits primarily attributable to executive departures. Liability-classified awards are remeasured at the end of each reporting period through the date of settlement to ensure that the expense recognized for each award is equivalent to the amount to be paid in cash.</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is a reconciliation of Non-GAAP free cash flow to Net cash provided by operating activities, the most directly comparable GAAP cash flow measure: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For the Fiscal Year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62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2"/>
                <w:szCs w:val="12"/>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0"/>
                <w:szCs w:val="10"/>
                <w:b w:val="1"/>
                <w:bCs w:val="1"/>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$739</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$458</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$1,233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i w:val="1"/>
                <w:iCs w:val="1"/>
                <w:color w:val="auto"/>
              </w:rPr>
              <w:t>Adjusted for: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Purchases of intangible assets</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(41)</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intangible asset obligations</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Non-GAAP free cash flow</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 one-time $750 million non-cancellable and non-refundable prepayment from a large technology customer.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Revenue</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Most of our licenses have two components: license fees and support and maintenance fees (recognized as license and other revenue) and per-chip royalties (recognized as royalty revenue). However, some licenses can have multiple payment milestones that are date-based or event-based (</w:t>
      </w:r>
      <w:r>
        <w:rPr>
          <w:rFonts w:ascii="Arial" w:cs="Arial" w:eastAsia="Arial" w:hAnsi="Arial"/>
          <w:sz w:val="18"/>
          <w:szCs w:val="18"/>
          <w:i w:val="1"/>
          <w:iCs w:val="1"/>
          <w:color w:val="auto"/>
        </w:rPr>
        <w:t>e.g.,</w:t>
      </w:r>
      <w:r>
        <w:rPr>
          <w:rFonts w:ascii="Arial" w:cs="Arial" w:eastAsia="Arial" w:hAnsi="Arial"/>
          <w:sz w:val="18"/>
          <w:szCs w:val="18"/>
          <w:color w:val="auto"/>
        </w:rPr>
        <w:t xml:space="preserve"> six months after the effective date of the contract or upon tape-out of the first chip design).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disaggregate revenue into the following major categories: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License and Other Revenue</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License and other revenue includes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w:t>
      </w:r>
      <w:r>
        <w:rPr>
          <w:rFonts w:ascii="Arial" w:cs="Arial" w:eastAsia="Arial" w:hAnsi="Arial"/>
          <w:sz w:val="17"/>
          <w:szCs w:val="17"/>
          <w:i w:val="1"/>
          <w:iCs w:val="1"/>
          <w:color w:val="auto"/>
        </w:rPr>
        <w:t>i.e.,</w:t>
      </w:r>
      <w:r>
        <w:rPr>
          <w:rFonts w:ascii="Arial" w:cs="Arial" w:eastAsia="Arial" w:hAnsi="Arial"/>
          <w:sz w:val="17"/>
          <w:szCs w:val="17"/>
          <w:color w:val="auto"/>
        </w:rPr>
        <w:t xml:space="preserv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revenues from a relatively small number of customers.</w:t>
      </w:r>
    </w:p>
    <w:p>
      <w:pPr>
        <w:spacing w:after="0" w:line="17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Revenues from customer service support are recorded within other revenues.</w:t>
      </w:r>
    </w:p>
    <w:p>
      <w:pPr>
        <w:spacing w:after="0" w:line="18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different configurations of our products before committing to a chip design. As of the date of this prospectus, we have extant Arm Flexible Access agreements with our customers, reflecting an increase of from as of .</w:t>
      </w:r>
    </w:p>
    <w:p>
      <w:pPr>
        <w:spacing w:after="0" w:line="185"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wide range of their products. As of the date of this prospectus, we have extant Arm Total Access agreements with our customers, reflecting an increase of from as of .</w:t>
      </w:r>
    </w:p>
    <w:p>
      <w:pPr>
        <w:spacing w:after="0" w:line="18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spacing w:after="0" w:line="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“—Key Factors and Trends Affecting Our Operating Results—Ability to Provide Our Customers with More Value Per Chip” above for examples of how customers may incorporate multiple products in a single chip. License contracts require the licensee to issue royalty reports, including details of chip sales, to us on a quarterly basis.</w:t>
      </w:r>
    </w:p>
    <w:p>
      <w:pPr>
        <w:spacing w:after="0" w:line="178"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Royalty revenue is recognized on an accrual basis in the quarter in which the customers ship chips containing our products, using an estimate based on sales trends and judgment for several key attributes, including industry estimates of expected shipments, the percentage of markets using our products, and average selling price (with a true-up in the following quarter based on actual sales data once received).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 from External Customers and Related Parties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also separately present revenues derived from contracts with our external customers and those derived from related parties. Revenues from related parties are derived from Arm China and customers in which we have an equity method investment.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Cost of sales (“COS”) is comprised primarily of the costs of providing technical support and training to our customers. Occasionally, some Research and Development costs may be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Research and development is at the heart of our business and critical to our future success. Accordingly, we have always invested, and will continue to invest, significant resources in our R&amp;D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spacing w:after="0" w:line="18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have substantially increased our R&amp;D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R&amp;D investment in line with the increased development needs of the next generation of products. Engineers are in high demand and well-remunerated, and accordingly our increased R&amp;D activity will continue to result in an increase in costs, principally driven by salaries for such technical employees and the costs of tools they need.</w:t>
      </w:r>
    </w:p>
    <w:p>
      <w:pPr>
        <w:spacing w:after="0" w:line="17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R&amp;D expenses consist primarily of employee-related expenses, including salaries, bonuses, share-based compensation, and benefits associated with employees in research and development functions, along with project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R&amp;D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Disposal, Restructuring and Other Operating Expenses, Net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recent years, we have invested in new systems for our commercial and finance teams to streamline our operations and create efficiencies. In March 2022, we announced a restructuring plan to align our selling, general and administrative workforce with strategic business activities. The expenses associated with this plan are included within “Disposal, restructuring and other operating expenses, net” in the consolidated income statements and consist of employee termination benefits and other related costs. Disposal expenses consist primarily of transaction costs, such as legal and professional fees, relating to various disposal activities.</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Impairment of long-lived assets includes impairments recognized on certain property and equipment and acquired intangibles as a result of lower than anticipated operating results and a deterioration in projected results. For purposes of determining the impairment, we relied on the income approach utilizing discounted cash flows to arrive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Equity Investments, Net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Income (loss) from equity investments, net includes changes in the fair value of certain equity method investments for which we elect to apply fair value accounting or at the net asset value,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under GAAP and is recognized in the quarter following the quarter in which such income or loss is recognized by our investee.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Interest income consists primarily of interest received on cash and cash equivalents, short-term investments that we hold with various financial institutions, and loans receivable. Interest expense consists primarily of interest on finance leases.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Non-Operating Income (Loss), Net</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the components of continued operations from our consolidated income statements and such data as a percentage of total revenue on an absolute basis,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7"/>
              </w:rPr>
              <w:t>For the Fiscal Year Ended March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620" w:type="dxa"/>
            <w:vAlign w:val="bottom"/>
            <w:vMerge w:val="restart"/>
          </w:tcPr>
          <w:p>
            <w:pPr>
              <w:spacing w:after="0"/>
              <w:rPr>
                <w:sz w:val="10"/>
                <w:szCs w:val="10"/>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0"/>
                <w:szCs w:val="10"/>
                <w:color w:val="auto"/>
              </w:rPr>
            </w:pPr>
          </w:p>
        </w:tc>
        <w:tc>
          <w:tcPr>
            <w:tcW w:w="800" w:type="dxa"/>
            <w:vAlign w:val="bottom"/>
            <w:gridSpan w:val="2"/>
          </w:tcPr>
          <w:p>
            <w:pPr>
              <w:jc w:val="right"/>
              <w:ind w:right="328"/>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2022</w:t>
            </w:r>
          </w:p>
        </w:tc>
        <w:tc>
          <w:tcPr>
            <w:tcW w:w="400" w:type="dxa"/>
            <w:vAlign w:val="bottom"/>
          </w:tcPr>
          <w:p>
            <w:pPr>
              <w:spacing w:after="0"/>
              <w:rPr>
                <w:sz w:val="10"/>
                <w:szCs w:val="10"/>
                <w:color w:val="auto"/>
              </w:rPr>
            </w:pPr>
          </w:p>
        </w:tc>
        <w:tc>
          <w:tcPr>
            <w:tcW w:w="96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0"/>
                <w:szCs w:val="10"/>
                <w:color w:val="auto"/>
              </w:rPr>
            </w:pPr>
          </w:p>
        </w:tc>
        <w:tc>
          <w:tcPr>
            <w:tcW w:w="4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jc w:val="right"/>
              <w:ind w:right="248"/>
              <w:spacing w:after="0" w:line="158" w:lineRule="exact"/>
              <w:rPr>
                <w:sz w:val="20"/>
                <w:szCs w:val="20"/>
                <w:color w:val="auto"/>
              </w:rPr>
            </w:pPr>
            <w:r>
              <w:rPr>
                <w:rFonts w:ascii="Arial" w:cs="Arial" w:eastAsia="Arial" w:hAnsi="Arial"/>
                <w:sz w:val="14"/>
                <w:szCs w:val="14"/>
                <w:b w:val="1"/>
                <w:bCs w:val="1"/>
                <w:color w:val="auto"/>
                <w:w w:val="85"/>
              </w:rPr>
              <w:t>revenue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Revenue from external customers</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$ 2,025</w:t>
            </w: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76%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2,219</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1,579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654</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380" w:type="dxa"/>
            <w:vAlign w:val="bottom"/>
          </w:tcPr>
          <w:p>
            <w:pPr>
              <w:spacing w:after="0"/>
              <w:rPr>
                <w:sz w:val="20"/>
                <w:szCs w:val="20"/>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2,703</w:t>
            </w:r>
          </w:p>
        </w:tc>
        <w:tc>
          <w:tcPr>
            <w:tcW w:w="4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3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380" w:type="dxa"/>
            <w:vAlign w:val="bottom"/>
          </w:tcPr>
          <w:p>
            <w:pPr>
              <w:spacing w:after="0"/>
              <w:rPr>
                <w:sz w:val="20"/>
                <w:szCs w:val="20"/>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2,572</w:t>
            </w:r>
          </w:p>
        </w:tc>
        <w:tc>
          <w:tcPr>
            <w:tcW w:w="4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3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(1,133)</w:t>
            </w: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(995)</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(814)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Disposal, restructuring and other operating expenses, net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(1,902)</w:t>
            </w:r>
          </w:p>
        </w:tc>
        <w:tc>
          <w:tcPr>
            <w:tcW w:w="380" w:type="dxa"/>
            <w:vAlign w:val="bottom"/>
          </w:tcPr>
          <w:p>
            <w:pPr>
              <w:spacing w:after="0"/>
              <w:rPr>
                <w:sz w:val="20"/>
                <w:szCs w:val="20"/>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(1,939)</w:t>
            </w:r>
          </w:p>
        </w:tc>
        <w:tc>
          <w:tcPr>
            <w:tcW w:w="4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(1,643)</w:t>
            </w:r>
          </w:p>
        </w:tc>
        <w:tc>
          <w:tcPr>
            <w:tcW w:w="3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671</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Income from equity investments, net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141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476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 net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00" w:type="dxa"/>
            <w:vAlign w:val="bottom"/>
            <w:gridSpan w:val="2"/>
          </w:tcPr>
          <w:p>
            <w:pPr>
              <w:ind w:left="360"/>
              <w:spacing w:after="0"/>
              <w:rPr>
                <w:sz w:val="20"/>
                <w:szCs w:val="20"/>
                <w:color w:val="auto"/>
              </w:rPr>
            </w:pPr>
            <w:r>
              <w:rPr>
                <w:rFonts w:ascii="Arial" w:cs="Arial" w:eastAsia="Arial" w:hAnsi="Arial"/>
                <w:sz w:val="18"/>
                <w:szCs w:val="18"/>
                <w:color w:val="auto"/>
              </w:rPr>
              <w:t>Other non-operating income (loss), net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20"/>
                <w:szCs w:val="20"/>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676</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72"/>
        </w:trPr>
        <w:tc>
          <w:tcPr>
            <w:tcW w:w="1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8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95</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340"/>
        <w:spacing w:after="0" w:line="407" w:lineRule="auto"/>
        <w:rPr>
          <w:sz w:val="20"/>
          <w:szCs w:val="20"/>
          <w:color w:val="auto"/>
        </w:rPr>
      </w:pPr>
      <w:r>
        <w:rPr>
          <w:rFonts w:ascii="Arial" w:cs="Arial" w:eastAsia="Arial" w:hAnsi="Arial"/>
          <w:sz w:val="18"/>
          <w:szCs w:val="18"/>
          <w:b w:val="1"/>
          <w:bCs w:val="1"/>
          <w:color w:val="auto"/>
        </w:rPr>
        <w:t xml:space="preserve">Comparison of Performance for the Fiscal Years Ended March 31, 2023, 2022 and 2021 </w:t>
      </w:r>
      <w:r>
        <w:rPr>
          <w:rFonts w:ascii="Arial" w:cs="Arial" w:eastAsia="Arial" w:hAnsi="Arial"/>
          <w:sz w:val="18"/>
          <w:szCs w:val="18"/>
          <w:i w:val="1"/>
          <w:iCs w:val="1"/>
          <w:color w:val="auto"/>
        </w:rPr>
        <w:t>Total revenue</w:t>
      </w: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11"/>
            <w:vMerge w:val="restart"/>
          </w:tcPr>
          <w:p>
            <w:pPr>
              <w:jc w:val="right"/>
              <w:ind w:right="66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1"/>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24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0"/>
                <w:szCs w:val="10"/>
                <w:color w:val="auto"/>
              </w:rPr>
            </w:pPr>
          </w:p>
        </w:tc>
        <w:tc>
          <w:tcPr>
            <w:tcW w:w="7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0"/>
                <w:szCs w:val="10"/>
                <w:color w:val="auto"/>
              </w:rPr>
            </w:pPr>
          </w:p>
        </w:tc>
        <w:tc>
          <w:tcPr>
            <w:tcW w:w="90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0"/>
                <w:szCs w:val="10"/>
                <w:color w:val="auto"/>
              </w:rPr>
            </w:pPr>
          </w:p>
        </w:tc>
        <w:tc>
          <w:tcPr>
            <w:tcW w:w="4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240" w:type="dxa"/>
            <w:vAlign w:val="bottom"/>
            <w:gridSpan w:val="2"/>
          </w:tcPr>
          <w:p>
            <w:pPr>
              <w:jc w:val="right"/>
              <w:ind w:right="388"/>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5"/>
              </w:rPr>
              <w:t>revenue</w:t>
            </w:r>
          </w:p>
        </w:tc>
        <w:tc>
          <w:tcPr>
            <w:tcW w:w="1240" w:type="dxa"/>
            <w:vAlign w:val="bottom"/>
            <w:gridSpan w:val="2"/>
          </w:tcPr>
          <w:p>
            <w:pPr>
              <w:jc w:val="right"/>
              <w:ind w:right="448"/>
              <w:spacing w:after="0" w:line="158" w:lineRule="exact"/>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2,025</w:t>
            </w:r>
          </w:p>
        </w:tc>
        <w:tc>
          <w:tcPr>
            <w:tcW w:w="26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76%</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2,219</w:t>
            </w:r>
          </w:p>
        </w:tc>
        <w:tc>
          <w:tcPr>
            <w:tcW w:w="2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1,579</w:t>
            </w:r>
          </w:p>
        </w:tc>
        <w:tc>
          <w:tcPr>
            <w:tcW w:w="2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78%</w:t>
            </w:r>
          </w:p>
        </w:tc>
        <w:tc>
          <w:tcPr>
            <w:tcW w:w="1240" w:type="dxa"/>
            <w:vAlign w:val="bottom"/>
            <w:gridSpan w:val="2"/>
            <w:shd w:val="clear" w:color="auto" w:fill="CCEEFF"/>
          </w:tcPr>
          <w:p>
            <w:pPr>
              <w:jc w:val="right"/>
              <w:ind w:right="188"/>
              <w:spacing w:after="0" w:line="203" w:lineRule="exact"/>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License and Other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569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574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240" w:type="dxa"/>
            <w:vAlign w:val="bottom"/>
            <w:gridSpan w:val="2"/>
          </w:tcPr>
          <w:p>
            <w:pPr>
              <w:jc w:val="right"/>
              <w:ind w:right="188"/>
              <w:spacing w:after="0"/>
              <w:rPr>
                <w:sz w:val="20"/>
                <w:szCs w:val="20"/>
                <w:color w:val="auto"/>
              </w:rPr>
            </w:pPr>
            <w:r>
              <w:rPr>
                <w:rFonts w:ascii="Arial" w:cs="Arial" w:eastAsia="Arial" w:hAnsi="Arial"/>
                <w:sz w:val="18"/>
                <w:szCs w:val="18"/>
                <w:color w:val="auto"/>
              </w:rPr>
              <w:t>(37%)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Royalty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1,456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1,317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1,005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3120" w:type="dxa"/>
            <w:vAlign w:val="bottom"/>
            <w:gridSpan w:val="2"/>
          </w:tcPr>
          <w:p>
            <w:pPr>
              <w:spacing w:after="0"/>
              <w:rPr>
                <w:sz w:val="20"/>
                <w:szCs w:val="20"/>
                <w:color w:val="auto"/>
              </w:rPr>
            </w:pPr>
            <w:r>
              <w:rPr>
                <w:rFonts w:ascii="Arial" w:cs="Arial" w:eastAsia="Arial" w:hAnsi="Arial"/>
                <w:sz w:val="18"/>
                <w:szCs w:val="18"/>
                <w:color w:val="auto"/>
              </w:rPr>
              <w:t>Revenue from related 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654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484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and Other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2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Royalty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88"/>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2,679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2,703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2,027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revenue was $2,679 million and $2,703 million for the fiscal years ended March 31, 2023 and 2022, respectively. License and other revenue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was $1,004 million and $1,141 million for the fiscal years ended March 31, 2023 and 2022, respectively. The decrease in license and other revenue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was due to marginal decrease in size and timing of new licensing deals. License revenue may potentially be volatile across periods due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variability of large deals between fiscal years, which historically have had a large license revenue impact. Royalty revenue was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$1,675 million and approximately $1,562 million for the fiscal years ended March 31, 2023 and 2022, respectively. The increase in royalty revenue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driven primarily by continued organic growth as a result of higher net ASP per chip and increased adoption of our products by customers in their chips.</w:t>
      </w:r>
    </w:p>
    <w:p>
      <w:pPr>
        <w:spacing w:after="0" w:line="23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Revenue from external customers decreased by $194 million during the fiscal years ended March 31, 2023 as compared to the fiscal year ended March 31, 2022, driven primarily by a $333 million decrease in license and other revenue, which was partially offset by a $139 million increase in royalty revenue. Revenue from related parties increased by $170 million during the fiscal years ended March 31, 2023 as compared to the fiscal year ended March 31, 2022, primarily driven by a $196 million increase in license and other revenue, which was partially offset by a $26 million decrease in royalty revenue as a result of economic and national security issues currently ongoing in the PRC.</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During the fiscal years ended March 31, 2023 and 2022 revenue from sales to customers outside of the U.S. accounted for approximately 59% and approximately 54% of total revenue, respectively. Less than 2% of our total revenue is denominated in currencies other than U.S. dollars, and the impact of changes in foreign exchange rates on our revenues and results of operations for the fiscal years ended March 31, 2023, 2022 and 2021 was immaterial.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Total revenue was $2,703 million and $2,027 million for the fiscal years ended March 31, 2022 and 2021, respectively. License and other revenue was $1,141 million and $714 million for the fiscal years ended March 31, 2022 and 2021, respectively. The increase in license and other revenue primarily was due to an increase in licensing revenue from three high-value license agreements and as we introduced new approaches to licensing certain of our products to provide more customers with more reasons and more ways to license. Royalty revenue was approximately $1,562 million and approximately $1,313 million for the fiscal years ended March 31, 2022 and 2021, respectively. The increase in royalty revenue was driven primarily by continued organic growth as a result of higher net ASP per chip and increased adoption of our products by customers in their chips.</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Revenue from external customers increased by $640 million during the fiscal years ended March 31, 2022 as compared to the fiscal year ended March 31, 2021, driven primarily by a $328 million increase in license and other revenue and a $312 million increase in royalty revenue. Revenue from related parties increased by $36 million during the fiscal years ended March 31, 2022 as compared to the fiscal year ended March 31, 2021, primarily driven by a $99 million increase in license and other revenue, which were partially offset by a $63 million decrease in royalty revenue as a result of trade protection and national security policies of the U.S. and PRC governments, which adversely affected PRC semiconductor suppliers and customers.</w:t>
      </w:r>
    </w:p>
    <w:p>
      <w:pPr>
        <w:spacing w:after="0" w:line="16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During the fiscal years ended March 31, 2022 and 2021 revenues from sales to customers outside of the U.S. accounted for approximately 54% and approximately 58% of total revenue, respectively. Less than 2% of our total revenue is denominated in currencies other than U.S. dollars, and the impact of changes in foreign exchange rates on our revenues and results of operations for the fiscal years ended March 31, 2022 and 2021 was immaterial.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gridSpan w:val="8"/>
            <w:vMerge w:val="restart"/>
          </w:tcPr>
          <w:p>
            <w:pPr>
              <w:ind w:left="42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8"/>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12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0"/>
                <w:szCs w:val="10"/>
                <w:color w:val="auto"/>
              </w:rPr>
            </w:pPr>
          </w:p>
        </w:tc>
        <w:tc>
          <w:tcPr>
            <w:tcW w:w="9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0"/>
                <w:szCs w:val="10"/>
                <w:color w:val="auto"/>
              </w:rPr>
            </w:pPr>
          </w:p>
        </w:tc>
        <w:tc>
          <w:tcPr>
            <w:tcW w:w="9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280" w:type="dxa"/>
            <w:vAlign w:val="bottom"/>
            <w:gridSpan w:val="2"/>
          </w:tcPr>
          <w:p>
            <w:pPr>
              <w:jc w:val="center"/>
              <w:ind w:right="428"/>
              <w:spacing w:after="0" w:line="119" w:lineRule="exact"/>
              <w:rPr>
                <w:sz w:val="20"/>
                <w:szCs w:val="20"/>
                <w:color w:val="auto"/>
              </w:rPr>
            </w:pPr>
            <w:r>
              <w:rPr>
                <w:rFonts w:ascii="Arial" w:cs="Arial" w:eastAsia="Arial" w:hAnsi="Arial"/>
                <w:sz w:val="13"/>
                <w:szCs w:val="13"/>
                <w:b w:val="1"/>
                <w:bCs w:val="1"/>
                <w:color w:val="auto"/>
              </w:rPr>
              <w:t>2023 to 2022</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revenue</w:t>
            </w: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revenue</w:t>
            </w:r>
          </w:p>
        </w:tc>
        <w:tc>
          <w:tcPr>
            <w:tcW w:w="4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revenue</w:t>
            </w:r>
          </w:p>
        </w:tc>
        <w:tc>
          <w:tcPr>
            <w:tcW w:w="1280" w:type="dxa"/>
            <w:vAlign w:val="bottom"/>
            <w:gridSpan w:val="2"/>
          </w:tcPr>
          <w:p>
            <w:pPr>
              <w:jc w:val="center"/>
              <w:ind w:right="428"/>
              <w:spacing w:after="0" w:line="158" w:lineRule="exact"/>
              <w:rPr>
                <w:sz w:val="20"/>
                <w:szCs w:val="20"/>
                <w:color w:val="auto"/>
              </w:rPr>
            </w:pPr>
            <w:r>
              <w:rPr>
                <w:rFonts w:ascii="Arial" w:cs="Arial" w:eastAsia="Arial" w:hAnsi="Arial"/>
                <w:sz w:val="14"/>
                <w:szCs w:val="14"/>
                <w:b w:val="1"/>
                <w:bCs w:val="1"/>
                <w:color w:val="auto"/>
                <w:w w:val="97"/>
              </w:rPr>
              <w:t>Change %</w:t>
            </w: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6"/>
              </w:rPr>
              <w:t>(106)</w:t>
            </w:r>
          </w:p>
        </w:tc>
        <w:tc>
          <w:tcPr>
            <w:tcW w:w="3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6"/>
              </w:rPr>
              <w:t>(131)</w:t>
            </w:r>
          </w:p>
        </w:tc>
        <w:tc>
          <w:tcPr>
            <w:tcW w:w="3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6"/>
              </w:rPr>
              <w:t>(145)</w:t>
            </w:r>
          </w:p>
        </w:tc>
        <w:tc>
          <w:tcPr>
            <w:tcW w:w="3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228"/>
              <w:spacing w:after="0" w:line="203" w:lineRule="exact"/>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Cost of sales were $106 million and $131 million for the fiscal years ended March 31, 2023 and 2022, respectively. Cost of sales decreased by $25 million during the fiscal year ended March 31, 2023 as compared to the fiscal year ended March 31, 2022, primarily due to decreases in activities associated with professional and design services, and employee and related retention awards, offset by increases in employee share-based compensation.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Cost of sales were $131 million and $145 million for the fiscal years ended March 31, 2022 and 2021, respectively. Cost of sales decreased by $14 million during the fiscal year ended March 31, 2022 as compared to the fiscal year ended March 31, 2021, primarily due to decreases in activities associated with professional and design services as well as a decrease in developed technology intangibles asset amortization due to certain assets coming to end of life. This decrease was partially offset by general increases in salaries and related expenses, professional services expenses, among other miscellaneous expenses.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7"/>
            <w:vMerge w:val="restart"/>
          </w:tcPr>
          <w:p>
            <w:pPr>
              <w:jc w:val="right"/>
              <w:ind w:right="20"/>
              <w:spacing w:after="0"/>
              <w:rPr>
                <w:sz w:val="20"/>
                <w:szCs w:val="20"/>
                <w:color w:val="auto"/>
              </w:rPr>
            </w:pPr>
            <w:r>
              <w:rPr>
                <w:rFonts w:ascii="Arial" w:cs="Arial" w:eastAsia="Arial" w:hAnsi="Arial"/>
                <w:sz w:val="14"/>
                <w:szCs w:val="14"/>
                <w:b w:val="1"/>
                <w:bCs w:val="1"/>
                <w:color w:val="auto"/>
              </w:rPr>
              <w:t>For the Fiscal Year Ended March 31,</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580" w:type="dxa"/>
            <w:vAlign w:val="bottom"/>
            <w:vMerge w:val="restart"/>
          </w:tcPr>
          <w:p>
            <w:pPr>
              <w:spacing w:after="0"/>
              <w:rPr>
                <w:sz w:val="10"/>
                <w:szCs w:val="10"/>
                <w:color w:val="auto"/>
              </w:rPr>
            </w:pPr>
          </w:p>
        </w:tc>
        <w:tc>
          <w:tcPr>
            <w:tcW w:w="5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revenue</w:t>
            </w:r>
          </w:p>
        </w:tc>
        <w:tc>
          <w:tcPr>
            <w:tcW w:w="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revenue</w:t>
            </w:r>
          </w:p>
        </w:tc>
        <w:tc>
          <w:tcPr>
            <w:tcW w:w="12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3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$(1,133)</w:t>
            </w:r>
          </w:p>
        </w:tc>
        <w:tc>
          <w:tcPr>
            <w:tcW w:w="3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42%</w:t>
            </w:r>
          </w:p>
        </w:tc>
        <w:tc>
          <w:tcPr>
            <w:tcW w:w="1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$(995)</w:t>
            </w:r>
          </w:p>
        </w:tc>
        <w:tc>
          <w:tcPr>
            <w:tcW w:w="3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$(814)</w:t>
            </w:r>
          </w:p>
        </w:tc>
        <w:tc>
          <w:tcPr>
            <w:tcW w:w="3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40%</w:t>
            </w:r>
          </w:p>
        </w:tc>
        <w:tc>
          <w:tcPr>
            <w:tcW w:w="12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Research and development expenses were $1,133 million and $995 million for the fiscal years ended March 31, 2023 and 2022, respectively. Research and development expenses increased by $138 million during the fiscal year ended March 31, 2023 as compared to the fiscal year ended March 31, 2022, due to increased investments in next generation of products. The increase was due to general increases in salaries and related expenses and share-based compensation, increases in cloud engineering expenses, including cloud services, depreciation, and allocated facility overheads, partially offset by decreases in employee related retention awards and increases in research and development tax credits.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Research and development expenses were $995 million and $814 million for the fiscal years ended March 31, 2022 and 2021, respectively. Research and development expenses increased by $181 million during the fiscal year ended March 31, 2022 as compared to the fiscal year ended March 31, 2021, primarily due to general increases in salaries and related retention awards, partially offset by decreases in government research grant income from the Innovate U.K. grant due to a reduction in the relevant qualifying expenses for which the Innovate U.K. grant is intended to compensate.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Selling, general and administrative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9"/>
            <w:vMerge w:val="restart"/>
          </w:tcPr>
          <w:p>
            <w:pPr>
              <w:ind w:left="38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9"/>
            <w:vMerge w:val="continue"/>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060" w:type="dxa"/>
            <w:vAlign w:val="bottom"/>
            <w:vMerge w:val="restart"/>
          </w:tcPr>
          <w:p>
            <w:pPr>
              <w:spacing w:after="0"/>
              <w:rPr>
                <w:sz w:val="10"/>
                <w:szCs w:val="10"/>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revenue</w:t>
            </w:r>
          </w:p>
        </w:tc>
        <w:tc>
          <w:tcPr>
            <w:tcW w:w="5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revenue</w:t>
            </w:r>
          </w:p>
        </w:tc>
        <w:tc>
          <w:tcPr>
            <w:tcW w:w="4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revenue</w:t>
            </w:r>
          </w:p>
        </w:tc>
        <w:tc>
          <w:tcPr>
            <w:tcW w:w="12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$(762)</w:t>
            </w:r>
          </w:p>
        </w:tc>
        <w:tc>
          <w:tcPr>
            <w:tcW w:w="30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28%</w:t>
            </w:r>
          </w:p>
        </w:tc>
        <w:tc>
          <w:tcPr>
            <w:tcW w:w="1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$(897)</w:t>
            </w:r>
          </w:p>
        </w:tc>
        <w:tc>
          <w:tcPr>
            <w:tcW w:w="3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$(826)</w:t>
            </w:r>
          </w:p>
        </w:tc>
        <w:tc>
          <w:tcPr>
            <w:tcW w:w="3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Selling, general and administrative expenses were $762 million and $897 million for the fiscal years ended March 31, 2023 and 2022, respectively. Selling, general and administrative expenses decreased by $135 million during the fiscal year ended March 31, 2023 as compared to the fiscal year ended March 31, 2022, primarily due to decreases in salaries and related expenses and employee retention awards, due in part to restructuring activities announced in March 2022, along with decreases in provisions for current expected credit losses on accounts receivable and recoveries, decreases in depreciation and amortization, general cloud service expenses, and allocated facility overheads, partially offset by increases in employee share-based compensation, public company readiness costs, professional services expenses and related charges, litigation provisions and related legal fees, travel expenses, and other miscellaneous items.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Selling, general and administrative expenses were $897 million and $826 million for the fiscal years ended March 31, 2022 and 2021, respectively. Selling, general and administrative expenses increased by $71 million during the fiscal year ended March 31, 2022 as compared to the fiscal year ended March 31, 2021, primarily due to general increases in salaries and related retention awards, increases in professional services expenses and related charges, cloud infrastructure costs, and provisions for current expected credit losses on accounts receivable. These increases were partially offset by decreases in acquisition related costs, depreciation and amortization and other miscellaneous items.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long-lived assets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For the Fiscal Year Ended March 31,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4"/>
          </w:tcPr>
          <w:p>
            <w:pPr>
              <w:ind w:left="42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160" w:type="dxa"/>
            <w:vAlign w:val="bottom"/>
            <w:vMerge w:val="restart"/>
          </w:tcPr>
          <w:p>
            <w:pPr>
              <w:spacing w:after="0"/>
              <w:rPr>
                <w:sz w:val="10"/>
                <w:szCs w:val="10"/>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83"/>
              </w:rPr>
              <w:t>2021</w:t>
            </w:r>
          </w:p>
        </w:tc>
        <w:tc>
          <w:tcPr>
            <w:tcW w:w="3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300" w:type="dxa"/>
            <w:vAlign w:val="bottom"/>
            <w:gridSpan w:val="2"/>
          </w:tcPr>
          <w:p>
            <w:pPr>
              <w:jc w:val="center"/>
              <w:ind w:right="439"/>
              <w:spacing w:after="0" w:line="119" w:lineRule="exact"/>
              <w:rPr>
                <w:sz w:val="20"/>
                <w:szCs w:val="20"/>
                <w:color w:val="auto"/>
              </w:rPr>
            </w:pPr>
            <w:r>
              <w:rPr>
                <w:rFonts w:ascii="Arial" w:cs="Arial" w:eastAsia="Arial" w:hAnsi="Arial"/>
                <w:sz w:val="13"/>
                <w:szCs w:val="13"/>
                <w:b w:val="1"/>
                <w:bCs w:val="1"/>
                <w:color w:val="auto"/>
              </w:rPr>
              <w:t>2023 to 2022</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4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revenue</w:t>
            </w:r>
          </w:p>
        </w:tc>
        <w:tc>
          <w:tcPr>
            <w:tcW w:w="1300" w:type="dxa"/>
            <w:vAlign w:val="bottom"/>
            <w:gridSpan w:val="2"/>
          </w:tcPr>
          <w:p>
            <w:pPr>
              <w:jc w:val="center"/>
              <w:ind w:right="439"/>
              <w:spacing w:after="0" w:line="158" w:lineRule="exact"/>
              <w:rPr>
                <w:sz w:val="20"/>
                <w:szCs w:val="20"/>
                <w:color w:val="auto"/>
              </w:rPr>
            </w:pPr>
            <w:r>
              <w:rPr>
                <w:rFonts w:ascii="Arial" w:cs="Arial" w:eastAsia="Arial" w:hAnsi="Arial"/>
                <w:sz w:val="14"/>
                <w:szCs w:val="14"/>
                <w:b w:val="1"/>
                <w:bCs w:val="1"/>
                <w:color w:val="auto"/>
                <w:w w:val="97"/>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3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7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2"/>
              </w:rPr>
              <w:t>$—</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$(21)</w:t>
            </w:r>
          </w:p>
        </w:tc>
        <w:tc>
          <w:tcPr>
            <w:tcW w:w="38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18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(3)</w:t>
            </w: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w w:val="76"/>
              </w:rPr>
              <w:t>(100)</w:t>
            </w:r>
          </w:p>
        </w:tc>
        <w:tc>
          <w:tcPr>
            <w:tcW w:w="52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Impairment of long-lived assets was zero and $21 million for the fiscal years ended March 31, 2023 and 2022, respectively. Impairment of long-lived assets decreased by $21 million during the fiscal year ended March 31, 2023 as compared to the fiscal year ended March 31, 2022, as there was no impairment of property and equipment or operating lease right-of-use assets in the fiscal year ended March 31, 2023.</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Impairment of long-lived assets was $21 million and $3 million for the fiscal years ended March 31, 2022 and 2021, respectively. Impairment of long-lived assets increased by $18 million during the fiscal year ended March 31, 2022 as compared to the fiscal year ended March 31, 2021, primarily related to impairment of certain property and equipment, intangible assets and operating lease right-of-use assets.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Disposal, restructuring and other operating expenses,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10"/>
            <w:vMerge w:val="restart"/>
          </w:tcPr>
          <w:p>
            <w:pPr>
              <w:ind w:left="34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10"/>
            <w:vMerge w:val="continue"/>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380" w:type="dxa"/>
            <w:vAlign w:val="bottom"/>
            <w:vMerge w:val="restart"/>
          </w:tcPr>
          <w:p>
            <w:pPr>
              <w:spacing w:after="0"/>
              <w:rPr>
                <w:sz w:val="10"/>
                <w:szCs w:val="10"/>
                <w:color w:val="auto"/>
              </w:rPr>
            </w:pPr>
          </w:p>
        </w:tc>
        <w:tc>
          <w:tcPr>
            <w:tcW w:w="3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revenue</w:t>
            </w:r>
          </w:p>
        </w:tc>
        <w:tc>
          <w:tcPr>
            <w:tcW w:w="4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revenue</w:t>
            </w:r>
          </w:p>
        </w:tc>
        <w:tc>
          <w:tcPr>
            <w:tcW w:w="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revenue</w:t>
            </w:r>
          </w:p>
        </w:tc>
        <w:tc>
          <w:tcPr>
            <w:tcW w:w="12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5"/>
        </w:trPr>
        <w:tc>
          <w:tcPr>
            <w:tcW w:w="42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Disposal, restructuring and other operating expenses,</w:t>
            </w:r>
          </w:p>
        </w:tc>
        <w:tc>
          <w:tcPr>
            <w:tcW w:w="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Disposal, restructuring and other operating expenses, net were $7 million and $26 million for the fiscal years ended March 31, 2023 and 2022, respectively. Disposal, restructuring and other operating expenses, net decreased by $19 million for the fiscal year ended March 31, 2023 as compared to the fiscal year ended March 31, 2022, primarily due to a decrease in restructuring activities, which was partially offset by an increase in disposal expenses. Restructuring activities were completed in the first two quarters of the fiscal year ended March 31, 2023 for the restructuring plan announced in March 2022.</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Disposal, restructuring and other operating expenses, net were $26 million and zero for the fiscal years ended March 31, 2022. Disposal, restructuring and other operating expenses, net increased by $26 million for the fiscal year ended March 31, 2022 as compared to the fiscal year ended March 31, 2021, primarily due to the announcement of a restructuring plan in March 2022 to align our selling, general and administrative workforce with strategic business activities and to improve efficiencies in our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(loss) from equity investments,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Period-Over-</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0"/>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Period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540" w:type="dxa"/>
            <w:vAlign w:val="bottom"/>
            <w:vMerge w:val="restart"/>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0"/>
                <w:szCs w:val="10"/>
                <w:color w:val="auto"/>
              </w:rPr>
            </w:pPr>
          </w:p>
        </w:tc>
        <w:tc>
          <w:tcPr>
            <w:tcW w:w="8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280" w:type="dxa"/>
            <w:vAlign w:val="bottom"/>
            <w:gridSpan w:val="2"/>
          </w:tcPr>
          <w:p>
            <w:pPr>
              <w:jc w:val="center"/>
              <w:ind w:right="410"/>
              <w:spacing w:after="0" w:line="119" w:lineRule="exact"/>
              <w:rPr>
                <w:sz w:val="20"/>
                <w:szCs w:val="20"/>
                <w:color w:val="auto"/>
              </w:rPr>
            </w:pPr>
            <w:r>
              <w:rPr>
                <w:rFonts w:ascii="Arial" w:cs="Arial" w:eastAsia="Arial" w:hAnsi="Arial"/>
                <w:sz w:val="13"/>
                <w:szCs w:val="13"/>
                <w:b w:val="1"/>
                <w:bCs w:val="1"/>
                <w:color w:val="auto"/>
              </w:rPr>
              <w:t>2023 to 2022</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revenue</w:t>
            </w:r>
          </w:p>
        </w:tc>
        <w:tc>
          <w:tcPr>
            <w:tcW w:w="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revenue</w:t>
            </w:r>
          </w:p>
        </w:tc>
        <w:tc>
          <w:tcPr>
            <w:tcW w:w="1280" w:type="dxa"/>
            <w:vAlign w:val="bottom"/>
            <w:gridSpan w:val="2"/>
          </w:tcPr>
          <w:p>
            <w:pPr>
              <w:jc w:val="center"/>
              <w:ind w:right="410"/>
              <w:spacing w:after="0" w:line="158" w:lineRule="exact"/>
              <w:rPr>
                <w:sz w:val="20"/>
                <w:szCs w:val="20"/>
                <w:color w:val="auto"/>
              </w:rPr>
            </w:pPr>
            <w:r>
              <w:rPr>
                <w:rFonts w:ascii="Arial" w:cs="Arial" w:eastAsia="Arial" w:hAnsi="Arial"/>
                <w:sz w:val="14"/>
                <w:szCs w:val="14"/>
                <w:b w:val="1"/>
                <w:bCs w:val="1"/>
                <w:color w:val="auto"/>
                <w:w w:val="97"/>
              </w:rPr>
              <w:t>% Change</w:t>
            </w:r>
          </w:p>
        </w:tc>
        <w:tc>
          <w:tcPr>
            <w:tcW w:w="1040" w:type="dxa"/>
            <w:vAlign w:val="bottom"/>
            <w:gridSpan w:val="2"/>
          </w:tcPr>
          <w:p>
            <w:pPr>
              <w:jc w:val="right"/>
              <w:ind w:right="23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(loss) from equity investments, net</w:t>
            </w: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34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$(45)</w:t>
            </w:r>
          </w:p>
        </w:tc>
        <w:tc>
          <w:tcPr>
            <w:tcW w:w="3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2%</w:t>
            </w:r>
          </w:p>
        </w:tc>
        <w:tc>
          <w:tcPr>
            <w:tcW w:w="1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$141</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w:t>
            </w:r>
          </w:p>
        </w:tc>
        <w:tc>
          <w:tcPr>
            <w:tcW w:w="1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$476</w:t>
            </w:r>
          </w:p>
        </w:tc>
        <w:tc>
          <w:tcPr>
            <w:tcW w:w="3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w:t>
            </w:r>
          </w:p>
        </w:tc>
        <w:tc>
          <w:tcPr>
            <w:tcW w:w="5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Income (loss) from equity investments, net was $(45) million and $141 million for the fiscal years ended March 31, 2023 and 2022, respectively. Income from equity investments, net decreased by $186 million for the fiscal year ended March 31, 2023 as compared to the fiscal year ended March 31, 2022, primarily due to unrealized losses related to equity method investments accounted for at fair value, and non-marketable securities.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Income from equity investments, net was $141 million and $476 million for the fiscal years ended March 31, 2022 and 2021, respectively. Income from equity investments, net decreased by $335 million for the fiscal year ended March 31, 2022 as compared to the fiscal year ended March 31, 2021, primarily due to unrealized gains related to equity method investments accounted for at fair value, and non-marketable securities.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8"/>
            <w:vMerge w:val="restart"/>
          </w:tcPr>
          <w:p>
            <w:pPr>
              <w:ind w:left="38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9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2022</w:t>
            </w:r>
          </w:p>
        </w:tc>
        <w:tc>
          <w:tcPr>
            <w:tcW w:w="340" w:type="dxa"/>
            <w:vAlign w:val="bottom"/>
          </w:tcPr>
          <w:p>
            <w:pPr>
              <w:spacing w:after="0"/>
              <w:rPr>
                <w:sz w:val="10"/>
                <w:szCs w:val="10"/>
                <w:color w:val="auto"/>
              </w:rPr>
            </w:pPr>
          </w:p>
        </w:tc>
        <w:tc>
          <w:tcPr>
            <w:tcW w:w="9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1240" w:type="dxa"/>
            <w:vAlign w:val="bottom"/>
            <w:gridSpan w:val="2"/>
          </w:tcPr>
          <w:p>
            <w:pPr>
              <w:jc w:val="center"/>
              <w:ind w:right="408"/>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revenue</w:t>
            </w:r>
          </w:p>
        </w:tc>
        <w:tc>
          <w:tcPr>
            <w:tcW w:w="2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revenue</w:t>
            </w:r>
          </w:p>
        </w:tc>
        <w:tc>
          <w:tcPr>
            <w:tcW w:w="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revenue</w:t>
            </w:r>
          </w:p>
        </w:tc>
        <w:tc>
          <w:tcPr>
            <w:tcW w:w="1240" w:type="dxa"/>
            <w:vAlign w:val="bottom"/>
            <w:gridSpan w:val="2"/>
          </w:tcPr>
          <w:p>
            <w:pPr>
              <w:jc w:val="center"/>
              <w:ind w:right="408"/>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1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21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$ 42</w:t>
            </w:r>
          </w:p>
        </w:tc>
        <w:tc>
          <w:tcPr>
            <w:tcW w:w="3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w:t>
            </w:r>
          </w:p>
        </w:tc>
        <w:tc>
          <w:tcPr>
            <w:tcW w:w="3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w:t>
            </w:r>
          </w:p>
        </w:tc>
        <w:tc>
          <w:tcPr>
            <w:tcW w:w="3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248"/>
              <w:spacing w:after="0" w:line="203" w:lineRule="exact"/>
              <w:rPr>
                <w:sz w:val="20"/>
                <w:szCs w:val="20"/>
                <w:color w:val="auto"/>
              </w:rPr>
            </w:pPr>
            <w:r>
              <w:rPr>
                <w:rFonts w:ascii="Arial" w:cs="Arial" w:eastAsia="Arial" w:hAnsi="Arial"/>
                <w:sz w:val="18"/>
                <w:szCs w:val="18"/>
                <w:color w:val="auto"/>
              </w:rPr>
              <w:t>2,000%</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Interest income, net was $42 million and $2 million for the fiscal years ended March 31, 2023 and 2022. Interest income, net increased by $40 million for the fiscal year ended March 31, 2023 as compared to the fiscal year ended March 31, 2022, primarily due to favorable interest rate yields recognized on short-term investments and cash equivalents.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Interest income, net was $2 million for each of the fiscal years ended March 31, 2022 and 2021. No material changes in interest income or expenses were realized in the fiscal year ended March 31, 2022 as compared to the fiscal year ended March 31, 2021.</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non-operating income (loss),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For the Fiscal Year Ended March 31,</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440" w:type="dxa"/>
            <w:vAlign w:val="bottom"/>
            <w:vMerge w:val="restart"/>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280" w:type="dxa"/>
            <w:vAlign w:val="bottom"/>
            <w:gridSpan w:val="2"/>
          </w:tcPr>
          <w:p>
            <w:pPr>
              <w:jc w:val="center"/>
              <w:ind w:right="419"/>
              <w:spacing w:after="0" w:line="119" w:lineRule="exact"/>
              <w:rPr>
                <w:sz w:val="20"/>
                <w:szCs w:val="20"/>
                <w:color w:val="auto"/>
              </w:rPr>
            </w:pPr>
            <w:r>
              <w:rPr>
                <w:rFonts w:ascii="Arial" w:cs="Arial" w:eastAsia="Arial" w:hAnsi="Arial"/>
                <w:sz w:val="13"/>
                <w:szCs w:val="13"/>
                <w:b w:val="1"/>
                <w:bCs w:val="1"/>
                <w:color w:val="auto"/>
              </w:rPr>
              <w:t>2023 to 2022</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4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revenue</w:t>
            </w:r>
          </w:p>
        </w:tc>
        <w:tc>
          <w:tcPr>
            <w:tcW w:w="1280" w:type="dxa"/>
            <w:vAlign w:val="bottom"/>
            <w:gridSpan w:val="2"/>
          </w:tcPr>
          <w:p>
            <w:pPr>
              <w:jc w:val="center"/>
              <w:ind w:right="419"/>
              <w:spacing w:after="0" w:line="158" w:lineRule="exact"/>
              <w:rPr>
                <w:sz w:val="20"/>
                <w:szCs w:val="20"/>
                <w:color w:val="auto"/>
              </w:rPr>
            </w:pPr>
            <w:r>
              <w:rPr>
                <w:rFonts w:ascii="Arial" w:cs="Arial" w:eastAsia="Arial" w:hAnsi="Arial"/>
                <w:sz w:val="14"/>
                <w:szCs w:val="14"/>
                <w:b w:val="1"/>
                <w:bCs w:val="1"/>
                <w:color w:val="auto"/>
                <w:w w:val="97"/>
              </w:rPr>
              <w:t>% Change</w:t>
            </w:r>
          </w:p>
        </w:tc>
        <w:tc>
          <w:tcPr>
            <w:tcW w:w="1040" w:type="dxa"/>
            <w:vAlign w:val="bottom"/>
            <w:gridSpan w:val="2"/>
          </w:tcPr>
          <w:p>
            <w:pPr>
              <w:jc w:val="right"/>
              <w:ind w:right="23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Other non-operating income (loss), net</w:t>
            </w:r>
          </w:p>
        </w:tc>
        <w:tc>
          <w:tcPr>
            <w:tcW w:w="5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$ 10</w:t>
            </w:r>
          </w:p>
        </w:tc>
        <w:tc>
          <w:tcPr>
            <w:tcW w:w="32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$(20)</w:t>
            </w:r>
          </w:p>
        </w:tc>
        <w:tc>
          <w:tcPr>
            <w:tcW w:w="36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5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Other non-operating income (loss), net was $3 million and $10 million for the fiscal years ended March 31, 2023 and 2022, respectively. Other non-operating income (loss), net decreased by $7 million for the fiscal year ended March 31, 2023 as compared to the fiscal year ended March 31, 2022, primarily due to realized and unrealized foreign exchanges gains, along with fair value changes in derivative financial instruments, convertible loans receivable, and a gain recognized upon the sale of certain net assets that meets the definition of a business, partially offset by realized and unrealized foreign exchange losses.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Other non-operating income (loss), net was $10 million and $(20) million for the fiscal years ended March 31, 2022 and 2021, respectively. Other non-operating income (loss), net increased by $30 million for the fiscal year ended March 31, 2022 as compared to the fiscal year ended March 31, 2021, primarily due to realized and unrealized foreign exchanges gains, along with fair value changes in derivative financial instruments and convertible loans receivable, partially offset by realized and unrealized foreign exchange losses.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 expense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Period-Over-Period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revenue</w:t>
            </w:r>
          </w:p>
        </w:tc>
        <w:tc>
          <w:tcPr>
            <w:tcW w:w="12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7"/>
              </w:rPr>
              <w:t>% Change</w:t>
            </w:r>
          </w:p>
        </w:tc>
        <w:tc>
          <w:tcPr>
            <w:tcW w:w="1080" w:type="dxa"/>
            <w:vAlign w:val="bottom"/>
            <w:gridSpan w:val="2"/>
          </w:tcPr>
          <w:p>
            <w:pPr>
              <w:jc w:val="center"/>
              <w:ind w:right="17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$(147)</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w:t>
            </w:r>
          </w:p>
        </w:tc>
        <w:tc>
          <w:tcPr>
            <w:tcW w:w="1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$(110)</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w:t>
            </w:r>
          </w:p>
        </w:tc>
        <w:tc>
          <w:tcPr>
            <w:tcW w:w="1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$(153)</w:t>
            </w:r>
          </w:p>
        </w:tc>
        <w:tc>
          <w:tcPr>
            <w:tcW w:w="3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34%</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Income tax expense was $147 million and $110 million for the fiscal years ended March 31, 2023 and 2022, respectively. Our effective tax rate for the fiscal years ended March 31, 2023 and 2022 was 22% and 14%, respectively. In the fiscal year ended March 31, 2023, our effective tax rate increased by approximately 8%, primarily due to significant irrecoverable withholding taxes and decreased profits qualifying for the U.K. patent box regime in the fiscal year ended March 31, 2023.</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Income tax expense was $110 million and $153 million for the fiscal years ended March 31, 2022 and 2021, respectively. Our effective tax rate for the fiscal years ended March 31, 2022 and 2021 was 14% and 22%, respectively. In the fiscal year ended March 31, 2022, our effective tax rate decreased by approximately 8%, primarily due to significant unrecoverable withholding taxes as a result of insufficient specific U.K. profits in the fiscal year ended March 31, 2021 and increased profits qualifying for the U.K. patent box regime in the fiscal year ended March 31,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Financial Information</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following table sets forth, for each of the three-month periods indicated, selected financial data from our unaudited consolidated income statements and consolidated balance sheets. The information for each of these quarters has been prepared on the same basis as the audited annual consolidated financial statements included elsewhere in this prospectus.</w:t>
      </w:r>
    </w:p>
    <w:p>
      <w:pPr>
        <w:spacing w:after="0" w:line="184"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This data should be read in conjunction with our annual consolidated financial statements and the related notes, all of which are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900" w:type="dxa"/>
            <w:vAlign w:val="bottom"/>
          </w:tcPr>
          <w:p>
            <w:pPr>
              <w:spacing w:after="0"/>
              <w:rPr>
                <w:sz w:val="10"/>
                <w:szCs w:val="10"/>
                <w:color w:val="auto"/>
              </w:rPr>
            </w:pPr>
          </w:p>
        </w:tc>
        <w:tc>
          <w:tcPr>
            <w:tcW w:w="94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w w:val="99"/>
              </w:rPr>
              <w:t>March 31,</w:t>
            </w:r>
          </w:p>
        </w:tc>
        <w:tc>
          <w:tcPr>
            <w:tcW w:w="84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June 30,</w:t>
            </w:r>
          </w:p>
        </w:tc>
        <w:tc>
          <w:tcPr>
            <w:tcW w:w="130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September 30,</w:t>
            </w:r>
          </w:p>
        </w:tc>
        <w:tc>
          <w:tcPr>
            <w:tcW w:w="126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December 31,</w:t>
            </w:r>
          </w:p>
        </w:tc>
        <w:tc>
          <w:tcPr>
            <w:tcW w:w="104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Pr>
          <w:p>
            <w:pPr>
              <w:jc w:val="center"/>
              <w:ind w:left="91"/>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r>
      <w:tr>
        <w:trPr>
          <w:trHeight w:val="171"/>
        </w:trPr>
        <w:tc>
          <w:tcPr>
            <w:tcW w:w="4900" w:type="dxa"/>
            <w:vAlign w:val="bottom"/>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560" w:type="dxa"/>
            <w:vAlign w:val="bottom"/>
            <w:gridSpan w:val="2"/>
          </w:tcPr>
          <w:p>
            <w:pPr>
              <w:jc w:val="right"/>
              <w:ind w:right="853"/>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Statements Data:</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License and Other Revenue</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233</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258</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188</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299</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259</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424</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434</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442</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425</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374</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revenue</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657</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692</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630</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724</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633</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(25)</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620</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667</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605</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695</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606</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(704)</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(373)</w:t>
            </w: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(422)</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(451)</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(656)</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(84)</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294</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183</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244</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(29)</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225</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114</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182</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1,635</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1,354</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1,376</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1,772</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2,215</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6,510</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6,213</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6,256</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6,610</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6,866</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3,548</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3,748</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3,851</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4,039</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4,051</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49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and Other Revenue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License and Other Revenue increased quarter over quarter driven by continued adoption of our technology product offerings, with the exception of the second quarter and fourth quarter of fiscal year ended March 31, 2023. The declines in those quarters were predominantly due to marginal decrease in size and timing of new licensing deals. Our deals include term license recognized at the point in time upon delivery to the customer. License revenue may potentially be volatile across periods due to variability of large deals between quarters, which historically have had a large license revenue impact.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Royalty revenue increased quarter over quarter driven by continued organic growth as a result of higher net ASP per chip and increased adoption of our technology products by customers in their chips, with the exception of the third quarter and fourth quarter of fiscal year ended March 31, 2023. The declines in those two quarters were primarily as a result of economic and national security issues currently ongoing in the PRC. The impact of these policies was more pronounced in the second half in comparison to the first half of the fiscal year ended March 31, 2023. We expect this volatility to continue in the fiscal year ending March 31, 2024 and beyond.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 and Gross profit</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quarterly cost of sales trends do not vary directly with our license and other revenue and royalty revenue. As a result, we have not experienced large fluctuations in the amount of our cost of sales from period to period. Our quarterly cost of sales expenses consist of employee-related expenses, project costs associated with professional services and the provision of support and maintenance to customers, along with expenses related to license development services revenue, amortization of developed technology, and allocated overhead.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fluctuations in our gross profit for each of the period presented were directly impacted by our total revenue for the same period.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operating expenses primarily consist of research and development, selling, general and administrative expenses. Personnel related expenses are the most significant component of operating expenses and consist of salaries, bonuses, stock-based compensation and associated benefits. Operating expenses also include cloud infrastructure costs and allocated overheads, amongst other items.</w:t>
      </w:r>
    </w:p>
    <w:p>
      <w:pPr>
        <w:spacing w:after="0" w:line="184"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Total operating expenses generally increased in each of the periods presented except for the quarter ended June 30, 2022, primarily due to increases in personnel-related expenses, share based compensation, cloud infrastructure and other related costs to support our growth.</w:t>
      </w:r>
    </w:p>
    <w:p>
      <w:pPr>
        <w:spacing w:after="0" w:line="12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experienced a decrease in total operating expenses during the first quarter ended June 30, 2022 as compared to the fourth quarter ended March 31, 2022 primarily as a result of increase in bonus awards, acceleration of employee retention awards and one-time restructuring charges incurred in the fourth quarter ended March 31, 2022.</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also experienced an increase in total operating expenses in the fourth quarter of March 31, 2023 as compared to the earlier quarters of same fiscal year primarily as a result of new grants of share-based compensation, increase in bonus awards and increase in litigation provisions, incurred in the fourth quarter ended March 31, 2023.</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intend to continue to make significant investments in research and development as we expand our existing technology product offerings. We also intend to incur additional general and administrative expenses as a result of operating as a public company.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financed, and intend to continue to finance, our operations primarily through cash generated from our business operations, partially supported by government research grants and tax credits. For the fiscal years ended March 31, 2023, 2022 and 2021, the government research grant and tax credits benefits recognized were approximately $83 million, $84 million and $94 million, respectively. As of March 31, 2023, we had cash and cash equivalents of approximately $1,554 million and short-term investments of $661 million.</w:t>
      </w:r>
    </w:p>
    <w:p>
      <w:pPr>
        <w:spacing w:after="0" w:line="178"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We believe that our cash and cash equivalents and short-term investments will be adequate to meet our liquidity requirements for at least the 12 months following the date of this prospectus and in the longer term. Our future capital requirements will depend on several factors, including our revenue growth, the timing and extent of spending on R&amp;D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 See “Risk Factors—Risks Relating to Our Business and Industry.”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2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For the Fiscal Years Ended March 31,</w:t>
            </w:r>
          </w:p>
        </w:tc>
        <w:tc>
          <w:tcPr>
            <w:tcW w:w="0" w:type="dxa"/>
            <w:vAlign w:val="bottom"/>
          </w:tcPr>
          <w:p>
            <w:pPr>
              <w:spacing w:after="0"/>
              <w:rPr>
                <w:sz w:val="1"/>
                <w:szCs w:val="1"/>
                <w:color w:val="auto"/>
              </w:rPr>
            </w:pPr>
          </w:p>
        </w:tc>
      </w:tr>
      <w:tr>
        <w:trPr>
          <w:trHeight w:val="128"/>
        </w:trPr>
        <w:tc>
          <w:tcPr>
            <w:tcW w:w="58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458</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1,233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1,214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Less cash from discontinued operations, end of the year</w:t>
            </w:r>
          </w:p>
        </w:tc>
        <w:tc>
          <w:tcPr>
            <w:tcW w:w="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from continuing operations, end of the year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Net cash provided by operating activities increased by $281 million to $739 million for the fiscal year ended March 31, 2023, primarily due to $713 million accounts receivable collections from Arm China offset by outflow of $442 million accrued compensation and benefits relating to cash incentive awards.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Net cash provided by operating activities decreased by $775 million to $458 million for the fiscal year ended March 31, 2022, primarily due to changes in working capital resulting from a one-time $750 million non-cancellable and non-refundable prepayment from a large technology customer, which was received in the fiscal year ended March 31, 2021.</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for 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Net cash used for investing activities decreased by $481 million to $138 million for the fiscal year ended March 31, 2023, primarily due to $836 million proceeds from maturity of short-term investments, and offset by $361 million purchases of short-term investments.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for investing activities increased by $279 million to $619 million for the fiscal year ended March 31, 2022, primarily due to</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$380 million of purchases of short-term investments and $31 million of purchases of investments in convertible loans, partially offset by a $70 million decrease in purchases of property, plant and equipment and a $42 million decrease in purchases of equity investments.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for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Net cash used for financing activities increased by $10 million to $42 million for the fiscal year ended March 31, 2023, primarily due to $50 million proceeds from short-term debt borrowing, and offset by $43 million cash outflow associated with the distribution and sale of Treasure Data and IoTP in the fiscal year ended March 31, 2022.</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Net cash used for financing activities decreased by $757 million to $32 million for the fiscal year ended March 31, 2022, primarily due to a $750 million dividend payment to our shareholders in the fiscal year ended March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material cash requirements include the following contractual and other obligations.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operating lease arrangements for office space, data centers, equipment and other corporate assets. As of March 31, 2023, we had lease payment obligations of $260 million, with $31 million payable within twelve months of March 31, 2023.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Non-Recourse Facility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March 2022, certain subsidiaries of SoftBank entered into a non-recourse term loan facility with certain lenders, which was amended and upsized in June 2022, pursuant to which a subsidiary of SoftBank borrowed $8.5 billion, all of which remains outstanding as of the date of this prospectus. In connection with such term loan facility, a subsidiary of SoftBank pledged its entire interest in us, consisting of 75.01% of our ordinary shares, as collateral for the obligations under the term loan facility, and we entered into a springing guarantee and indemnity, pursuant to which we agreed to, upon the occurrence of certain triggering events, provide a guarantee to the lenders for amounts borrowed under the term loan facility. SoftBank has informed us that (i) it intends to repay or refinance the term loan facility prior to, or substantially concurrently with, the completion of this offering, and (ii) at the time of such repayment or refinancing, our springing guarantee and indemnity will be</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terminated. The repayment or refinancing of the term loan facility and the release of our obligations thereunder is a condition to the closing of this offering. See “Related Party Transactions — Transactions with SoftBank — SoftBank Non-Recourse Facility” and Note 18 to our consolidated financial statements included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In March 2022, we announced a restructuring plan to align our workforce with strategic business activities and to improve efficiencies in our operations. As a result of the restructuring plan, we recognized a liability of $26 million, which is entirely related to estimated one-time employee termination benefit costs. The restructuring activities were substantially completed in the first two quarters of the fiscal year ended March 31, 2023.</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U.S.. The preparation of these consolidated financial statements requires us to make estimates and assumptions that affect the reported amounts of assets, liabilities, revenues,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consolidated financial statements.</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believe that, of our significant accounting policies, which are described in Note 1 to our consolidated financial statements included elsewhere in this prospectus, the following accounting policies involve a greater degree of management judgment and complexity. Accordingly, the following policies we believe are the most critical to aid in fully understanding and evaluating our consolidated financial condition, results of operations, and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revenue is derived from contracts with customers. We recognize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the five-step framework under ASC 606 to recognize revenue as described in our revenue recognition policy included in Note 1 of our consolidated financial statements included elsewhere in this prospectus.</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most critical judgments required in applying ASC 606 and our revenue recognition policy relate to the determination of distinct performance obligations, the evaluation of the standalone selling price (“SSP”) for each performance obligation and the assessment of the contract combination criteria.</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Determination of distinct performance obligations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 our licensing arrangements, we grant customers the choice to acquire additional rights, goods, or services at contract inception (for example, renewals of offerings, version extensions through term renewals, additional future products, or additional usage of term license). Therefore, judgment is required in determining whether products and services are considered distinct performance obligations that should be accounted for separately. We utilize forward-looking information in identifying performance obligations for IP or their version extensions of architecture IP under development or future products and in considering if implicit promises exist in certain long-term contracts.</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the standalone selling price for each performance obligation</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Judgment is required to determine the SSP for each distinct performance obligation in the contract. Directly observable prices are generally not available for our products, so we estimate the SSP for each performance obligation by maximizing the use of observable inputs. Some of our performance obligations, such as support, maintenance services, and training services, have observable inputs that are used to determine the SSP of those distinct performance obligations. However, our licenses of products often have highly variable pricing as standalone sales are rare and pricing varies from one transaction to another. When offerings with highly variable pricing lack substantial direct costs to estimate SSP based on a cost-plus margin approach, the transaction price is allocated using the residual approach on the basis that we have identified the SSP for other performance obligations in the same contract. If two or more performance obligations have highly variable or uncertain pricing, we apply a combination of methods to estimate the SSPs, including utilizing list prices, contract prices, and effort estimates of future IP.</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Assessment of contract combination criteria</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certain instances, we enter into multiple contracts with the same customer that are treated, for accounting purposes, as a single contract if the contracts are entered into at, or near, the same time and are interrelated. Judgments are required in evaluating whether various contracts are interrelated, which includes considerations as to whether they were negotiated as a package with a single commercial objective, where the amount of consideration on one contract is dependent on the performance of the other contract, or if some or all obligations in the contracts constitute a single performance obligation.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Estimates on sales-based royalty revenue accruals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For certain license arrangements, sales-based royalties are collected on customers’ chips that incorporate our products. Royalties are set either as a percentage of the licensee’s average selling price per chip or as a fixed amount per chip. Royalties are recognized on the licensee’s sales in the period in which they ship their Arm-powered chips to their end customers. Our estimates of royalty-based accruals take into consideration the macroeconomic effects of global events, such as COVID-19, geopolitical issues (such as trade bans or wars), and natural disasters, any of which may interrupt supply chain activities as well as demand for shipments of technology products. These estimates also involve the use of historical data and judgment for several key attributes, including industry estimates of expected shipments, the percentage of markets using our products, and average selling price. Generally, our estimates represent the then-current period’s shipments for which we expect our licensees to submit royalty statements in the following quarter in accordance with our license agreements. Upon receipt of royalty statements from the licensees with the actual reporting of sales-based royalties that we previously estimated, we record a favorable or unfavorable adjustment based on the difference, if any, between estimated and actual sales. Historically, actual amounts for sales-based royalties have been materially consistent with our estimates, and no significant adjustments have been required for prior-period royalty estimates. However, we can provide no assurances that material adjustments will not be required in future periods.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Equity Investments Measured at Fair Value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Non-marketable securities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Non-marketable securities represent either direct or indirect, through a capital fund, investments in unlisted early-stage development enterprises. For certain of these securities, we have elected to apply the net asset value (“NAV”) practical expedient, where NAV is the estimated fair value of the investments. For other investments, under the measurement alternative, these equity securities are recorded at cost minus impairment, if any, plus or minus changes resulting from qualifying observable price changes resulting from the issuance of similar or identical securities in an orderly transaction by the same issuer. As of March 31, 2023 and 2022, non-marketable securities measured at NAV were $18 million and $29 million, respectively.</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Determining whether an observed transaction is similar to a security within our portfolio requires judgment based on the rights and preferences of the securities. Recording upward and downward adjustments to the carrying values of equity securities as a result of observable price changes requires quantitative assessments of the fair values of equity securities held.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Equity method investments represent strategic investments in unlisted development enterprises. For certain of these investments, we have elected to apply the fair value option. Where applicable, the NAV practical expedient has been applied. Equity method investments measured at NAV were $109 million and $107 million as of March 31, 2023 and 2022, respectively. Equity method investments measured at fair value as of March 31, 2023 and 2022 were $482 million and $524 million, respectively.</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elected the fair value option for Arm China, Acetone Limited, and Ampere Computing LLC. We initially computed the fair value for our investments, consistent with the methodology and assumptions that market participants would use in their estimates of fair value, with the assistance of a third-party valuation specialist or based on inputs provided by the investee. The fair value computation is updated on a quarterly basis. The investments are classified within Level 3 in the fair value hierarchy because we estimate the fair value of the investments using (i) the market approach based on similar transactions, (ii) the market-calibration approach based on the guideline public company method and/or (iii) probability-weighted expected return approach, and/or (iv) subject to the availability of sufficient information, the income approach based on the discounted cash flow method.</w:t>
      </w:r>
    </w:p>
    <w:p>
      <w:pPr>
        <w:spacing w:after="0" w:line="16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We consider numerous objective and subjective factors to determine the best estimate of fair value for our investees. These factors include forecasts, the financial condition of the investee and the prices paid for securities sold to third-party investors, if any, as well as the valuation of comparable companies.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investments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Non-marketable equity securities under the measurement alternative are subject to periodic impairment analysis. The periodic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we prepare a quantitative assessment of the fair value of the equity investments using both the market and income approaches, which require judgment and the use of estimates, including discount rates, investee revenue and costs, and comparable market data of private and public companies, among others. During the fiscal years ended March 31, 2023, 2022 and 2021, we recognized impairments of $8 million, $3 million and $21 million, respectively, on non-marketable equity securities.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our ability and intent to hold the investment for a sufficient period of time to allow for recovery. We did not recognize any impairments on equity method investments during the fiscal years ended March 31, 2023, 2022 or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 Valuations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Prior to this offering, given the absence of a public trading market for our ordinary shares, our Board of Directors exercised its reasonable judgment and considered numerous objective and subjective factors to determine the best estimate of fair value of our ordinary shares underlying RSUs and Executive Awards awarded to employees and non-executive directors as equity compensation, including:</w:t>
      </w:r>
    </w:p>
    <w:p>
      <w:pPr>
        <w:spacing w:after="0" w:line="71" w:lineRule="exact"/>
        <w:rPr>
          <w:sz w:val="20"/>
          <w:szCs w:val="20"/>
          <w:color w:val="auto"/>
        </w:rPr>
      </w:pPr>
    </w:p>
    <w:p>
      <w:pPr>
        <w:ind w:left="5600" w:right="4560" w:hanging="4944"/>
        <w:spacing w:after="0" w:line="449" w:lineRule="auto"/>
        <w:tabs>
          <w:tab w:leader="none" w:pos="10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contemporaneous independent third-party valuations of our ordinary shares; 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lack of marketability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performance and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 outlook and other information, such as market growth and volume and macro-economic events;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To determine the fair value of our ordinary shares, we first estimated our enterprise value and then allocated that enterprise value to our ordinary shares and ordinary share equivalents. Our enterprise value was estimated using the income and market-calibration approaches.</w:t>
      </w:r>
    </w:p>
    <w:p>
      <w:pPr>
        <w:spacing w:after="0" w:line="146"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market-calibration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expense share-based compensation over the requisite service periods of the awards, which generally is equivalent to the vesting term. Compensation expense is recorded only for those awards that are expected to vest. The fair value of RSUs is determined on the date of grant and at the end of each reporting period using Monte Carlo simulations or the discounted cash flow approach. The fair value of phantom shares is determined based on the share price of our ultimate parent, SoftBank. We classify awards that can and will be settled in cash as liabilities in our consolidated balance sheets. Certain RSUs and all of phantom shares are liability-classified and are remeasured at the end of each reporting period through the date of settlement to ensure that the expense recognized for each award is equivalent to the amount to be paid in cash.</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Share Units (RSUs)—2019 AEP and 2019 EIP</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RSUs are granted to both employees and certain of our executive officers and vesting is subject to continuous service, the achievement of market condition targets, and are contingent upon the occurrence of various events comprising a change in control, an initial public offering, or the passage of time. RSUs vest on the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earliest to occur of (1) our initial public offering or six months following our initial public offering (as applicable), (2) the acquisition of more than 50 percent of the voting power of our shares, or the sale of the Company or another change in control event, and (3) March 9, 2026. The vesting of certain RSUs may be subject to market condition targets, and the remuneration committee has discretion to settle vested RSUs with shares or cash. If no change in control or initial public offering were to occur before December 31, 2025, the remuneration committee would have discretion to settle each RSU in cash, subject to achievement of certain market condition targets. The market condition targets are related to our valuation upon change in control, initial public offering, or passage of time. The weighted average fair value of the RSUs was measured at each reporting date using the Monte Carlo simulation model.</w:t>
      </w:r>
    </w:p>
    <w:p>
      <w:pPr>
        <w:spacing w:after="0" w:line="19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Monte Carlo simulation model simulates our equity value at an assumed listing exit event in order to determine the RSU vesting percentage. The model simulates the RSU vesting percentage over one million iterations, and the average of all iterations is the fair value of an RSU. The model then discounts the future value of RSU at the assumed listing exit event date back to the valuation date based on the risk-free rate. The Monte Carlo simulation model incorporates various assumptions such as expected share price volatility until a liquidity event, expected dividend yield, risk-free interest rate, and expected time to an initial public offering.</w:t>
      </w:r>
    </w:p>
    <w:p>
      <w:pPr>
        <w:spacing w:after="0" w:line="188"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For the fiscal year ended March 31, 2023, the Company paid $15.9 million in relation to the modification of 2019 AEP RSUs that had vesting conditions accelerated pursuant to restructuring activities, of which $11.8 million of share-based compensation cost was recognized in the current year. We did not have any payments arising from normal course vesting events for liability-classified RSU awards for the fiscal years ended March 31, 2023, 2022 and 2021. For awards under the 2019 AEP or the 2019 EIP that have not vested, due to a change in control or an initial public offering, these would be settled in cash upon the passage of time and achievement of a certain market condition target. Upon completion of this offering, we expect to</w:t>
      </w:r>
    </w:p>
    <w:p>
      <w:pPr>
        <w:spacing w:after="0" w:line="2"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recognize share-based compensation expense of approximately $ for which the service-based vesting condition was satisfied or partially satisfied as of , 2023. Upon completion of this offering, all RSUs under the 2019 AEP will vest and our intent is to settle those RSUs in shares</w:t>
      </w:r>
    </w:p>
    <w:p>
      <w:pPr>
        <w:ind w:left="120"/>
        <w:spacing w:after="0"/>
        <w:rPr>
          <w:sz w:val="20"/>
          <w:szCs w:val="20"/>
          <w:color w:val="auto"/>
        </w:rPr>
      </w:pPr>
      <w:r>
        <w:rPr>
          <w:rFonts w:ascii="Arial" w:cs="Arial" w:eastAsia="Arial" w:hAnsi="Arial"/>
          <w:sz w:val="18"/>
          <w:szCs w:val="18"/>
          <w:color w:val="auto"/>
        </w:rPr>
        <w:t>instead of cash. This will result in a change to the classification of the RSUs at that time from liability-classified to equity-classified awards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2022 RSU Plan</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June 2022, the 2022 RSU Plan was established to grant RSUs to all employees of the Company (“All Employee Awards”). Employees may elect not to participate in the plan. The RSUs vest in tranches, require continuous service through the vesting date and are subject to graded vesting over time. We recognize share-based compensation cost using the straight-line method over the service period of the award except for performance grants with specific performance criteria, net of estimated forfeitures. The 2022 RSU Plan provides vesting schedules applicable prior to an initial public offering and after an initial public offering. For all periods presented, an initial public offering is generally not considered probable until it has occurred. Accordingly, the RSUs are currently probable of vesting based on the vesting schedule applicable prior to an initial public offering over a three-year period.</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2022 RSU Plan allows for either cash or share settlement of the RSUs by tranche at the discretion of the Company’s remuneration committee. At the time of issuance, we intended to settle all tranches of the RSUs in shares at the vesting date and such RSUs were accounted for as equity-classified awards. In November 2022, the Company determined that it would settle the first tranche of the All Employee Awards outstanding that vest in March 2023 and May 2023 by paying cash instead of issuing shares. The Company accounted for this change as a modification and reclassified the affected portion of the award from equity to liability and will remeasure the awards at fair value at each reporting period through the date of settlement. These RSUs neither carry rights to dividends nor voting rights until the shares are issued or transferred to the recipient. Awards are forfeited if an employee leaves the Company before the RSUs vest.</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also granted additional awards under the 2022 RSU Plan to new hires starting in September 2022 (“New Starter Awards”). The New Starter Awards share substantially the same terms as the existing RSUs for All</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Employee Awards with changes limited to the vesting schedules. The New Starter Awards require continuous service through the vesting date. In addition to the New Starter Awards, we also granted RSUs to all employees and new hires of our subsidiary, Arm Israel, starting in February 2023 (the “Israel Awards”). The Israel Awards have substantially the same terms as the existing RSUs for All Employee Awards and New Starter Awards with changes limited to the vesting schedules. The Israel Awards require continuous service through the vesting date.</w:t>
      </w:r>
    </w:p>
    <w:p>
      <w:pPr>
        <w:spacing w:after="0" w:line="17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used the income approach and market-calibration approach based on comparable publicly traded companies in similar lines of businesses to measure the fair value of the All Employee Awards. 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did not have any payments arising from normal course vesting events for the liability or equity-classified RSU awards for the fiscal year ended</w:t>
      </w:r>
    </w:p>
    <w:p>
      <w:pPr>
        <w:spacing w:after="0" w:line="46"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March 31, 2023. Upon completion of this offering, we expect to recognize share-based compensation cost of approximately $ for which the service-based vesting condition was satisfied or partially satisfied as of , 2023. Upon the completion of this offering, the All Employee Awards</w:t>
      </w:r>
    </w:p>
    <w:p>
      <w:pPr>
        <w:ind w:left="120"/>
        <w:spacing w:after="0"/>
        <w:rPr>
          <w:sz w:val="20"/>
          <w:szCs w:val="20"/>
          <w:color w:val="auto"/>
        </w:rPr>
      </w:pPr>
      <w:r>
        <w:rPr>
          <w:rFonts w:ascii="Arial" w:cs="Arial" w:eastAsia="Arial" w:hAnsi="Arial"/>
          <w:sz w:val="17"/>
          <w:szCs w:val="17"/>
          <w:color w:val="auto"/>
        </w:rPr>
        <w:t>will be accounted for using the vesting schedules applicable after an initial public offering which will result in an acceleration of compensation cost.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completion of this offering, it is our intent to continue to settle the RSUs in shares.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Awards Granted under the 2022 RSU Plan—Executive Awards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November 2022, the Company issued two types of executive awards (the “Annual Awards” and “One-time Launch Awards”) under the 2022 RSU Plan to certain of our executive officers (collectively, the “Executive Awards”). These Executive Awards under the 2022 RSU Plan have total award values based on fixed monetary amounts known at inception and do not carry rights to dividends nor voting rights. The Executive Awards entitle participants to a fixed amount of cash or, upon the occurrence of a change in control or an initial public offering, ordinary shares of the Company at the discretion of our remuneration committee. Executive Awards are liability-classified and remeasured at the end of each reporting period through the date of settlement so that the expense recognized for each award is equivalent to the amount to be paid in cash.</w:t>
      </w:r>
    </w:p>
    <w:p>
      <w:pPr>
        <w:spacing w:after="0" w:line="16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One-time Launch Awards vest in tranches and require continuous service through the vesting dates and are subject to graded vesting over a period of three years. The Company also granted One-time Launch Awards with customized vesting schedules to certain of our executive officers with a potential fixed monetary amount of $55.0 million at the grant date. These customized awards vest upon (1) the occurrence of one of various events comprising a change in control of the Company, (2) an initial public offering, and (3) March 9, 2026. For more information about awards that vest at the completion of this offering, see “Management and Executive Remuneration—Awards Vesting at the Completion of this Offering.”</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Annual Awards include a portion that vests over a three-year continuous service period and/or another portion that is subject to continuous service and satisfaction of certain Company performance conditions. The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original fixed monetary amount of the award depending on the achievement of annual performance metrics.</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an initial public offering each Executive Award will vest and, at the discretion of the Remuneration Committee, be settled by a variable number of shares based on the initial public offering price per ADS. As of March 31, 2023, awards were expected to settle in cash at the vesting date. Awards are forfeited if an employee leaves the Company before the awards vest.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did not have any payments arising from normal course vesting events for the liability-classified Executive Awards for the fiscal year ended</w:t>
      </w:r>
    </w:p>
    <w:p>
      <w:pPr>
        <w:spacing w:after="0" w:line="46" w:lineRule="exact"/>
        <w:rPr>
          <w:sz w:val="20"/>
          <w:szCs w:val="20"/>
          <w:color w:val="auto"/>
        </w:rPr>
      </w:pPr>
    </w:p>
    <w:p>
      <w:pPr>
        <w:jc w:val="both"/>
        <w:ind w:left="120" w:right="240"/>
        <w:spacing w:after="0" w:line="265" w:lineRule="auto"/>
        <w:rPr>
          <w:sz w:val="20"/>
          <w:szCs w:val="20"/>
          <w:color w:val="auto"/>
        </w:rPr>
      </w:pPr>
      <w:r>
        <w:rPr>
          <w:rFonts w:ascii="Arial" w:cs="Arial" w:eastAsia="Arial" w:hAnsi="Arial"/>
          <w:sz w:val="17"/>
          <w:szCs w:val="17"/>
          <w:color w:val="auto"/>
        </w:rPr>
        <w:t>March 31, 2023. Upon completion of this offering, we expect to recognize share-based compensation cost of approximately $ for which the service-based vesting condition was satisfied or partially satisfied as of , 2023. Upon the completion of this offering, the Executive Awards</w:t>
      </w:r>
    </w:p>
    <w:p>
      <w:pPr>
        <w:ind w:left="120"/>
        <w:spacing w:after="0"/>
        <w:rPr>
          <w:sz w:val="20"/>
          <w:szCs w:val="20"/>
          <w:color w:val="auto"/>
        </w:rPr>
      </w:pPr>
      <w:r>
        <w:rPr>
          <w:rFonts w:ascii="Arial" w:cs="Arial" w:eastAsia="Arial" w:hAnsi="Arial"/>
          <w:sz w:val="16"/>
          <w:szCs w:val="16"/>
          <w:color w:val="auto"/>
        </w:rPr>
        <w:t>will be accounted for using the vesting schedules applicable after an initial public offering which will result in an acceleration of compensation cost.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completion of this offering, it is our intent to settle the Executive Awards in shares.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Goodwill is recorded as the excess of consideration transferred over the acquisition-date fair values of assets acquired and liabilities assumed. We have identified one reporting unit. We perform an annual impairment assessment in the fourth fiscal quarter or more frequently if indicators of potential impairment exist, which includes evaluating qualitative and quantitative factors to assess the likelihood of an impairment of the reporting unit’s goodwill. If our assessment concludes that it is more likely than not that the fair value is more than its carrying value of our reporting unit, goodwill is not considered impaired and we are not required to perform the quantitative goodwill impairment test.</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our impairment assessment concludes that it is more likely than not that the fair value is less than its carrying value, we perform the quantitative goodwill impairment test, which compares the fair value of the reporting unit to its carrying value. Impairments, if any, are based on the excess of the carrying amount over the fair value. Our goodwill impairment test considers the income method and/or market method to estimate a reporting unit’s fair value. Significant judgments are required in assessing impairment of goodwill include the identification of reporting units, estimating future cash flows, determining appropriate discount and growth rates and other assumptions. Changes in these estimates and assumptions could materially affect the determination of fair value, whether an impairment exists and if so the amount of that impairment.</w:t>
      </w:r>
    </w:p>
    <w:p>
      <w:pPr>
        <w:spacing w:after="0" w:line="178"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We completed our annual goodwill impairment test in the fourth quarter of the fiscal years ended March 31, 2023, 2022 and 2021. It was determined, after performing a qualitative review, that it is not more likely than not that the fair value of our single reporting unit was less than its carrying amount. Accordingly, there was no indication of impairment, and the quantitative goodwill impairment test was not performed.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subject to income taxes in the United Kingdom and other foreign jurisdictions. We account for deferred taxes by using the asset and liability method under GAAP. Under this method, we determine deferred tax assets and liabilities based on temporary differences between the financial reporting and the tax bases of assets and liabilities. Deferred tax assets and liabilities are measured using the enacted tax rates and laws that are expected to be in effect when the differences are expected to reverse. We recognize a deferred tax asset when it is more likely than not that the asset will be realized. We regularly review our deferred tax assets for recoverability and establish a valuation allowance based upon historical losses, projected future taxable income and the</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color w:val="auto"/>
        </w:rPr>
        <w:t>expected timing of the reversals of existing temporary differences. To the extent we increase or decrease the allowance in a period, we recognize the change in the allowance within “Income tax expense” in the consolidated income statement. Unforeseen changes in tax rates and tax laws, as well as differences in the projected taxable income as compared to actual taxable income, may affect these estimates.</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provision for income taxes includes the impact of reserve provisions and changes to reserves as well as the related net interest and penalties. In addition, we are subject to the continuous examination of our income tax returns by the United Kingdom and other tax authorities that may assert assessments against us. We regularly assess the likelihood of adverse outcomes resulting from these examinations and assessments to determine the adequacy of our provision for income taxes.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For a summary of recent accounting pronouncements and the anticipated effects on our consolidated financial statements, see Note 2 to our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1 to our consolidated financial statements included elsewhere in this prospectus for additional details.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are exposed to interest rate risk arising on interest-bearing assets that we hold, including cash and cash equivalents, short-term investments, and loans receivable. As of March 31, 2023, a hypothetical 1% increase or decrease in interest rates would have an approximate $16 million (positive or negative, as applicable) impact on our operating results in the consolidated financial statements for the fiscal year ended March 31, 2023.</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We are exposed to foreign exchange risk in respect of our revenues and expenses where our revenues and expenses are denominated in a currency other than the functional currency of the transacting entity. We mitigate a proportion of this risk through the use of currency forward contracts.</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Translational exposure arises on the revaluation of net investments in the consolidated financial statements, where these are not denominated in U.S. dollars and on loans to subsidiaries in currencies other than our functional currency. As of March 31, 2023, a hypothetical 10% increase or decrease in the relative value of U.S. dollars to British pound sterling would have an approximate $15 million (positive or negative, as applicable) effect on our operating results in the consolidated financial statements for the fiscal year ended March 31, 2023.</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North Star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Building the future of computing, on Arm. Together. For everyone.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 representing an approximately 70% increase since the fiscal year ended March 31, 2016.</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Today, any company can make a modern computer chip through the unique combination of our energy-efficient CPU IP and related technologies and our unmatched ecosystem of technology partners, and do it cost effectively due to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including the largest technology companies globally (such as Amazon, Alphabet, Meta and Microsoft), major semiconductor chip vendors (such as AMD, Intel, NVIDIA, Qualcomm and Samsung), automotive industry incumbents, leading auto suppliers, IoT innovators, and more.</w:t>
      </w:r>
    </w:p>
    <w:p>
      <w:pPr>
        <w:spacing w:after="0" w:line="18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exponential rise in smart devices in both consumer and enterprise markets has increased the demand for chips that provide more computational capability while optimizing energy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devices and services together. Additionally, there are billions of tiny low-cost devices – from sensors to electric motor controllers – that are now functionally computers, as well. Each of these computers needs at least one CPU, and in many cases more than one. This trend has driven the dramatic growth of Arm-based chips over the past several years.</w:t>
      </w:r>
    </w:p>
    <w:p>
      <w:pPr>
        <w:spacing w:after="0" w:line="19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creation of the Arm CPU architecture, the world’s most widely used CPU architecture, has resulted in the proliferation and evolution of computers as people know them today, advancing a paradigm of increasing compute performance coupled with industry-leading power efficiency.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Energy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remains critical.</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 xml:space="preserve">Every CPU has an ISA, which defines the software instructions that can be executed by the CPU, essentially a common language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Arial" w:cs="Arial" w:eastAsia="Arial" w:hAnsi="Arial"/>
          <w:sz w:val="17"/>
          <w:szCs w:val="17"/>
          <w:i w:val="1"/>
          <w:iCs w:val="1"/>
          <w:color w:val="auto"/>
        </w:rPr>
        <w:t>etc</w:t>
      </w:r>
      <w:r>
        <w:rPr>
          <w:rFonts w:ascii="Arial" w:cs="Arial" w:eastAsia="Arial" w:hAnsi="Arial"/>
          <w:sz w:val="17"/>
          <w:szCs w:val="17"/>
          <w:color w:val="auto"/>
        </w:rPr>
        <w:t>.) to create an SoC to meet the needs of any end market.</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and have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This combination of pervasiveness and ease of portability has resulted in our CPU designs having the world’s richest software ecosystem, built in partnership with the leading operating systems providers (including Google Android, Microsoft Windows and all major Linux distributions), software tools and game engine vendors (such as EA, Unity and Epic Games),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w:t>
      </w:r>
    </w:p>
    <w:p>
      <w:pPr>
        <w:spacing w:after="0" w:line="16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the world moves increasingly towards AI- and ML-enabled computing, Arm will be central to this transition. Arm CPUs already run AI and ML workloads in billions of devices, including smartphones, cameras, digital TVs, cars and cloud data centers. The CPU is vital in all AI systems, whether it is handling the AI workload entirely or in combination with a co-processor, such as a GPU or an NPU. In the emerging area of large language models, generative AI and autonomous driving, there will be a heightened emphasis on the low power acceleration of these algorithms. In our latest ISA, CPUs, and GPUs, we have added new functionality and instructions to accelerate future AI and ML algorithms. We are working with leading companies such as Alphabet, Cruise, Mercedes-Benz, Meta and NVIDIA to deploy Arm technology to run AI workloads.</w:t>
      </w:r>
    </w:p>
    <w:p>
      <w:pPr>
        <w:spacing w:after="0" w:line="178"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centers in the U.K, Europe, North America, India, and Asia-Pacific. Our headquarters are located in Cambridge, U.K.</w:t>
      </w:r>
    </w:p>
    <w:p>
      <w:pPr>
        <w:spacing w:after="0" w:line="187" w:lineRule="exact"/>
        <w:rPr>
          <w:sz w:val="20"/>
          <w:szCs w:val="20"/>
          <w:color w:val="auto"/>
        </w:rPr>
      </w:pPr>
    </w:p>
    <w:p>
      <w:pPr>
        <w:jc w:val="both"/>
        <w:ind w:left="120" w:right="380" w:firstLine="440"/>
        <w:spacing w:after="0" w:line="301" w:lineRule="auto"/>
        <w:rPr>
          <w:sz w:val="20"/>
          <w:szCs w:val="20"/>
          <w:color w:val="auto"/>
        </w:rPr>
      </w:pPr>
      <w:r>
        <w:rPr>
          <w:rFonts w:ascii="Arial" w:cs="Arial" w:eastAsia="Arial" w:hAnsi="Arial"/>
          <w:sz w:val="16"/>
          <w:szCs w:val="16"/>
          <w:color w:val="auto"/>
        </w:rPr>
        <w:t>For the fiscal year ended March 31, 2023, our total revenue growth was flat to $2,679 million, from March 31, 2022. In the fiscal year ended March 31, 2023, as a percentage of total revenue our gross profit margin was 96% and operating income margin was 25%. In the fiscal year ended March 31, 2023, we generated net income from continuing operations of $524 million (Non-GAAP net income from continuing operations of $657 million), compared to $676 million (Non-GAAP net income from continuing operations of $663 million) in the fiscal year ended March 31, 2022.</w:t>
      </w:r>
    </w:p>
    <w:p>
      <w:pPr>
        <w:spacing w:after="0" w:line="15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For the fiscal year ended March 31, 2022, our total revenue grew by 33%, to $2,703 million, from $2,027 million in the fiscal year ended March 31, 2021. In the fiscal year ended March 31, 2022, as a percentage of total revenue, our gross profit margin was 95% and operating income margin was 23% compared to 93% and 12%, respectively, in the fiscal year ended March 31, 2021. In the fiscal year ended March 31, 2022, we generated net income from continuing operations of $676 million (Non-GAAP net income from continuing operations of $663 million), compared to $544 million (Non-GAAP net income from continuing operations of $207 million) in the fiscal year ended March 31, 2021.</w:t>
      </w:r>
    </w:p>
    <w:p>
      <w:pPr>
        <w:spacing w:after="0" w:line="1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Journey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Established in 1990, Arm began as a joint venture between Acorn Computers, Apple Computer, and VLSI Technology. We were publicly listed on the London Stock Exchange and the Nasdaq Stock Market from 1998 until 2016, when we were taken private by SoftBank, our controlling shareholder.</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original joint venture set out to develop a processor that was high performance, power efficient, easy to program, and readily scalable – a goal that continues to define Arm today. One of the first Arm-based products was a predecessor of today’s tablets. As a battery-powered device, it required an energy-efficient chip to maximize its battery life while providing the necessary compute capabilities. This product benefited from Arm’s clear focus on efficient CPU design. Our CPUs initially gained significant traction in mobile phones in the mid-1990s because our energy-efficient processors provided an appropriate level of performance while consuming little power, which was critical for these smaller form factor devices. As the mobile phone market continued to grow rapidly, more semiconductor companies entered the market. All these companies needed to source high-performance, energy-efficient processors to run their mobile phone software, and many of them licensed Arm CPU products. Over time, mobile phones, and the chips they used, became more advanced and ultimately evolved into the smartphones that are prevalent today. The Arm CPU proved to be critical in enabling the smartphone revolution.</w:t>
      </w:r>
    </w:p>
    <w:p>
      <w:pPr>
        <w:spacing w:after="0" w:line="18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revolution.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Evolution</w:t>
      </w:r>
    </w:p>
    <w:p>
      <w:pPr>
        <w:spacing w:after="0" w:line="117" w:lineRule="exact"/>
        <w:rPr>
          <w:sz w:val="20"/>
          <w:szCs w:val="20"/>
          <w:color w:val="auto"/>
        </w:rPr>
      </w:pPr>
    </w:p>
    <w:p>
      <w:pPr>
        <w:jc w:val="both"/>
        <w:ind w:left="120" w:right="280" w:firstLine="440"/>
        <w:spacing w:after="0" w:line="301" w:lineRule="auto"/>
        <w:rPr>
          <w:sz w:val="20"/>
          <w:szCs w:val="20"/>
          <w:color w:val="auto"/>
        </w:rPr>
      </w:pPr>
      <w:r>
        <w:rPr>
          <w:rFonts w:ascii="Arial" w:cs="Arial" w:eastAsia="Arial" w:hAnsi="Arial"/>
          <w:sz w:val="16"/>
          <w:szCs w:val="16"/>
          <w:color w:val="auto"/>
        </w:rPr>
        <w:t>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but not limited to, cloud computing, networking, automotive, and IoT, most of which have strong secular tailwinds. Our investments have resulted in a diversified business with more durable growth.</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elements of our evolution included:</w:t>
      </w:r>
    </w:p>
    <w:p>
      <w:pPr>
        <w:spacing w:after="0" w:line="131" w:lineRule="exact"/>
        <w:rPr>
          <w:sz w:val="20"/>
          <w:szCs w:val="20"/>
          <w:color w:val="auto"/>
        </w:rPr>
      </w:pPr>
    </w:p>
    <w:p>
      <w:pPr>
        <w:ind w:left="1080" w:right="4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a Market-Led Business with Products Optimized for Specific Verticals. </w:t>
      </w:r>
      <w:r>
        <w:rPr>
          <w:rFonts w:ascii="Arial" w:cs="Arial" w:eastAsia="Arial" w:hAnsi="Arial"/>
          <w:sz w:val="18"/>
          <w:szCs w:val="18"/>
          <w:color w:val="auto"/>
        </w:rPr>
        <w:t>We have developed multiple product families,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markets such as smartphones, cloud computing, networking, automotive and IoT.</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the New Armv9 Architecture. </w:t>
      </w:r>
      <w:r>
        <w:rPr>
          <w:rFonts w:ascii="Arial" w:cs="Arial" w:eastAsia="Arial" w:hAnsi="Arial"/>
          <w:sz w:val="18"/>
          <w:szCs w:val="18"/>
          <w:color w:val="auto"/>
        </w:rPr>
        <w:t>Leveraging the progress made by previous generations of our products, we embarked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w:t>
      </w:r>
    </w:p>
    <w:p>
      <w:pPr>
        <w:spacing w:after="0" w:line="92"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Broadening our Compute Platforms. </w:t>
      </w:r>
      <w:r>
        <w:rPr>
          <w:rFonts w:ascii="Arial" w:cs="Arial" w:eastAsia="Arial" w:hAnsi="Arial"/>
          <w:sz w:val="17"/>
          <w:szCs w:val="17"/>
          <w:color w:val="auto"/>
        </w:rPr>
        <w:t>We have curated, integrated, and optimized our CPU and system-design components together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foundational compute platforms to deliver best-in-class performance and energy efficiency for our customers.</w:t>
      </w:r>
    </w:p>
    <w:p>
      <w:pPr>
        <w:spacing w:after="0" w:line="51" w:lineRule="exact"/>
        <w:rPr>
          <w:rFonts w:ascii="Arial" w:cs="Arial" w:eastAsia="Arial" w:hAnsi="Arial"/>
          <w:sz w:val="17"/>
          <w:szCs w:val="17"/>
          <w:color w:val="auto"/>
        </w:rPr>
      </w:pPr>
    </w:p>
    <w:p>
      <w:pPr>
        <w:ind w:left="1080" w:right="220" w:hanging="424"/>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Value Proposition for Customers. </w:t>
      </w:r>
      <w:r>
        <w:rPr>
          <w:rFonts w:ascii="Arial" w:cs="Arial" w:eastAsia="Arial" w:hAnsi="Arial"/>
          <w:sz w:val="18"/>
          <w:szCs w:val="18"/>
          <w:color w:val="auto"/>
        </w:rPr>
        <w:t>As building chips using the most advanced manufacturing processes became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complex and more costly, the opportunity to expand our product offerings to our customers increased. As a result, we have created more advanced and optimized CPU products that enable us to provide more value to our customers by giving their devices more functionality and more performance while using less power and at lower cost.</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60" w:hanging="424"/>
        <w:spacing w:after="0" w:line="25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Introducing New Licensing Models with Increased Focus on Maximizing Royalty Opportunities. </w:t>
      </w:r>
      <w:r>
        <w:rPr>
          <w:rFonts w:ascii="Arial" w:cs="Arial" w:eastAsia="Arial" w:hAnsi="Arial"/>
          <w:sz w:val="18"/>
          <w:szCs w:val="18"/>
          <w:color w:val="auto"/>
        </w:rPr>
        <w:t>By licensing a portfolio of Arm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w:t>
      </w:r>
    </w:p>
    <w:p>
      <w:pPr>
        <w:spacing w:after="0" w:line="93"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Diversifying and Deepening our Relationships with Market Leaders</w:t>
      </w:r>
      <w:r>
        <w:rPr>
          <w:rFonts w:ascii="Arial" w:cs="Arial" w:eastAsia="Arial" w:hAnsi="Arial"/>
          <w:sz w:val="16"/>
          <w:szCs w:val="16"/>
          <w:color w:val="auto"/>
        </w:rPr>
        <w:t>. We have established close partnerships with leading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all of our target markets, including , among others, OPPO, Samsung, vivo and Xiaomi in mobile computing, Amazon and Alibaba in cloud compute, Cruise and Mercedes-Benz in advanced automotive, and Raspberry Pi, Schneider Electric and Siemens in industrial IoT.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Semiconductors are indispensable to everyday life. In today’s technology-driven world, semiconductors are the enablers of the devices and infrastructure that facilitate virtually everything people do, such as making a phone call, sending an email, storing files in the cloud, streaming videos, or travelling by car, train, or plane.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Proliferation of Smart, Connected Devices Supporting an Increasingly Digital World</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 For example, vehicles are effectively transforming into computers on wheels, factory floors are becoming increasingly automated with robotics, and retail shopping is evolving with the help of cashier-less checkout technology.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Need for High-Performance, Power-Efficient Compute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massive expansion of data, advanced software applications, and AI are driving the need for high-performance compute capabilities. To address increasingly complex workloads, a key approach has been to increase the speed of a CPU and expand the number of processor cores per chip. For example, core count increased by approximately tenfold between 2010 and 2022 for many smartphone application processors and by more than 30 times over the same period for certain data center server chips. Solely running an existing chip faster may deliver more compute performance, but increasing performance in this way results in higher energy costs, and may cause thermal limits to be exceeded. For example, individual servers are limited by their ability to dissipate heat energy, while whole data centers are limited by how much electricity is available to them. Mobile devices are limited by the energy stored in their batteries, while their instantaneous power is limited by thermal constraints. Furthermore, the transition to electric vehicles is increasing pressure on automakers to consider the power consumption and thermal management of vehicle electronics. In addition, enterprises are increasingly mindful of environmental sustainability, which is driving a need for more efficient alternatives to offset the continued growth in data centers and other compute deployments. According to McKinsey, the energy usage from data centers is expected to increase two times by the end of 2030 relative to 2022 levels. Collectively, these considerations result in the need for innovation in chip design to address market demands for an optimal balance of performance, efficiency, size, and cost across end markets.</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Increasing Complexity and Cost of Designing Leading-Edge Solutions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resources required to develop leading-edge products are significant and continue to increase exponentially as manufacturing process nodes shrink. According to IBS, IC design costs in 2022 were approximately $48 million for a 28nm chip and approximately $725 million for a 2nm chip. Design partners play an increasingly valuable role in the chip design process by providing specialized capabilities and expertise that enable semiconductor suppliers to focus on their core product differentiation, while keeping pace with market innovation. Design partners facilitate innovation and enhance customers’ competitive positioning by reducing the complexity, risk, and cost of a significant part of the development cycle. In addition, design partners, like Arm, that can demonstrate a deep understanding of their customers’ workloads are better positioned to integrate themselves into their customers’ workflows, further expanding their value proposition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139065</wp:posOffset>
            </wp:positionV>
            <wp:extent cx="5186045" cy="29749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Source: IBS July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Growth of In-House Development and Custom Silicon Chips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in-house that deliver greater performance and greater efficiency at an equal or better price for a particular use case. The successes of Arm-based products such as Amazon’s Graviton, deployed across Amazon data centers globally, have demonstrated the opportunity to create a sustainable competitive advantage through this approach. This trend of increasing use of in-house developed solutions has significantly expanded the opportunity for Arm.</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9" w:right="5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the most pervasive CPU architecture in the world. The key elements of our solution include:</w:t>
      </w:r>
    </w:p>
    <w:p>
      <w:pPr>
        <w:spacing w:after="0" w:line="131" w:lineRule="exact"/>
        <w:rPr>
          <w:sz w:val="20"/>
          <w:szCs w:val="20"/>
          <w:color w:val="auto"/>
        </w:rPr>
      </w:pPr>
    </w:p>
    <w:p>
      <w:pPr>
        <w:ind w:left="1080" w:right="5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Arm CPUs. </w:t>
      </w:r>
      <w:r>
        <w:rPr>
          <w:rFonts w:ascii="Arial" w:cs="Arial" w:eastAsia="Arial" w:hAnsi="Arial"/>
          <w:sz w:val="18"/>
          <w:szCs w:val="18"/>
          <w:color w:val="auto"/>
        </w:rPr>
        <w:t>The foundation of our product offerings is our market-leading CPU products. Our CPU products leverage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ISA and address the widest range of performance, power, and cost requirements.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Other Design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portfolio of products that are deployed alongside our CPUs, including:</w:t>
      </w:r>
    </w:p>
    <w:p>
      <w:pPr>
        <w:spacing w:after="0" w:line="134" w:lineRule="exact"/>
        <w:rPr>
          <w:rFonts w:ascii="Arial" w:cs="Arial" w:eastAsia="Arial" w:hAnsi="Arial"/>
          <w:sz w:val="18"/>
          <w:szCs w:val="18"/>
          <w:color w:val="auto"/>
        </w:rPr>
      </w:pPr>
    </w:p>
    <w:p>
      <w:pPr>
        <w:ind w:left="1540" w:right="480" w:hanging="331"/>
        <w:spacing w:after="0" w:line="277"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Graphics Processing Units. </w:t>
      </w:r>
      <w:r>
        <w:rPr>
          <w:rFonts w:ascii="Arial" w:cs="Arial" w:eastAsia="Arial" w:hAnsi="Arial"/>
          <w:sz w:val="18"/>
          <w:szCs w:val="18"/>
          <w:color w:val="auto"/>
        </w:rPr>
        <w:t>We offer a family of GPU products providing an optimal visual experience across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w:t>
      </w:r>
    </w:p>
    <w:p>
      <w:pPr>
        <w:spacing w:after="0" w:line="75" w:lineRule="exact"/>
        <w:rPr>
          <w:rFonts w:ascii="Arial" w:cs="Arial" w:eastAsia="Arial" w:hAnsi="Arial"/>
          <w:sz w:val="18"/>
          <w:szCs w:val="18"/>
          <w:color w:val="auto"/>
        </w:rPr>
      </w:pPr>
    </w:p>
    <w:p>
      <w:pPr>
        <w:ind w:left="1540" w:right="460" w:hanging="331"/>
        <w:spacing w:after="0" w:line="277"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System IP. </w:t>
      </w:r>
      <w:r>
        <w:rPr>
          <w:rFonts w:ascii="Arial" w:cs="Arial" w:eastAsia="Arial" w:hAnsi="Arial"/>
          <w:sz w:val="18"/>
          <w:szCs w:val="18"/>
          <w:color w:val="auto"/>
        </w:rPr>
        <w:t>Complementary design components that enable designers to create high-performance, power-efficient,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 chips.</w:t>
      </w:r>
    </w:p>
    <w:p>
      <w:pPr>
        <w:spacing w:after="0" w:line="7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 Platform Products. </w:t>
      </w:r>
      <w:r>
        <w:rPr>
          <w:rFonts w:ascii="Arial" w:cs="Arial" w:eastAsia="Arial" w:hAnsi="Arial"/>
          <w:sz w:val="18"/>
          <w:szCs w:val="18"/>
          <w:color w:val="auto"/>
        </w:rPr>
        <w:t>Arm’s CPU, GPU, and System IP products integrate into a foundational compute platform optimized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specific end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Tools and Software. </w:t>
      </w:r>
      <w:r>
        <w:rPr>
          <w:rFonts w:ascii="Arial" w:cs="Arial" w:eastAsia="Arial" w:hAnsi="Arial"/>
          <w:sz w:val="18"/>
          <w:szCs w:val="18"/>
          <w:color w:val="auto"/>
        </w:rPr>
        <w:t>Our tools and software support the development and deployment of our offerings.</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continue to expand the scope of our product offerings, investing in more holistic, end-market optimized designs, expanding beyond individual design IP to providing subsystem designs. Given the complexities of developing chips using the most advanced manufacturing processes, we are making significant investments to better support the increasing number of OEMs looking to develop their own customized chips.</w:t>
      </w:r>
    </w:p>
    <w:p>
      <w:pPr>
        <w:spacing w:after="0" w:line="149"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In addition, we have cultivated a broad ecosystem of third-party hardware and software partners to support our customers. Our partners include leading semiconductor technology suppliers, including foundries (such as Global Foundries, Intel’s Foundry Services business, TSMC and UMC) and EDA vendors (such as Cadence, Synopsys and Siemens). We also invest in our software ecosystem and work closely with firmware and operating system vendors (such as Amazon Linux, Canonical, Google, Microsoft, RedHat, VMware and Wind River), game engine vendors (such as Unity and Epic Games), software tool providers (such as Green Hills, IAR and Lauterbach), and application software developers (such as Adobe, EA, King and Microsoft).</w:t>
      </w:r>
    </w:p>
    <w:p>
      <w:pPr>
        <w:spacing w:after="0" w:line="19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primary customer benefits of our solution include:</w:t>
      </w:r>
    </w:p>
    <w:p>
      <w:pPr>
        <w:spacing w:after="0" w:line="131" w:lineRule="exact"/>
        <w:rPr>
          <w:sz w:val="20"/>
          <w:szCs w:val="20"/>
          <w:color w:val="auto"/>
        </w:rPr>
      </w:pPr>
    </w:p>
    <w:p>
      <w:pPr>
        <w:ind w:left="1080" w:right="160" w:hanging="424"/>
        <w:spacing w:after="0" w:line="25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Optimize for Performance, Power and Area (PPA)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flexible and modular design IP enables customers to build chips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w:t>
      </w:r>
    </w:p>
    <w:p>
      <w:pPr>
        <w:spacing w:after="0" w:line="93" w:lineRule="exact"/>
        <w:rPr>
          <w:rFonts w:ascii="Arial" w:cs="Arial" w:eastAsia="Arial" w:hAnsi="Arial"/>
          <w:sz w:val="18"/>
          <w:szCs w:val="18"/>
          <w:color w:val="auto"/>
        </w:rPr>
      </w:pPr>
    </w:p>
    <w:p>
      <w:pPr>
        <w:ind w:left="1080" w:right="20" w:hanging="424"/>
        <w:spacing w:after="0" w:line="291"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Alignment with the Semiconductor Industry’s Technology Roadmap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leading-edge manufacturing processes continue to progress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40" w:hanging="424"/>
        <w:spacing w:after="0" w:line="25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Design Risk and Cost. </w:t>
      </w:r>
      <w:r>
        <w:rPr>
          <w:rFonts w:ascii="Arial" w:cs="Arial" w:eastAsia="Arial" w:hAnsi="Arial"/>
          <w:sz w:val="18"/>
          <w:szCs w:val="18"/>
          <w:color w:val="auto"/>
        </w:rPr>
        <w:t>Our solution allows customers to build optimized chips, while reducing their design execution risk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w:t>
      </w:r>
    </w:p>
    <w:p>
      <w:pPr>
        <w:spacing w:after="0" w:line="93"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Incorporation of AI and ML Acceleration in Every Processor We Design. </w:t>
      </w:r>
      <w:r>
        <w:rPr>
          <w:rFonts w:ascii="Arial" w:cs="Arial" w:eastAsia="Arial" w:hAnsi="Arial"/>
          <w:sz w:val="17"/>
          <w:szCs w:val="17"/>
          <w:color w:val="auto"/>
        </w:rPr>
        <w:t>Using an AI or ML algorithm is just another way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define our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For the calendar year ended December 31, 2022, we estimate that our TAM was approximately $202.5 billion and we forecast that our TAM will grow at a CAGR of 6.8% to approximately $246.6 billion by the end of the calendar year ending December 31, 2025. We estimate that the aggregate value of chips containing Arm technology was approximately $98.9 billion in the calendar year ended December 31, 2022, representing an approximate 48.9% market share. We estimate that our royalty revenue today represents approximately 1.7%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 Our calculation of TAM is based on a combination of third-party sources, customer reports and our own internal assessments and judgment.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Mobile Applications Processor</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expect the mobile applications processor market to grow from approximately $29.9 billion in the calendar year ended December 31, 2022 to approximately $36.0 billion in the calendar year ending December 31, 2025, representing a CAGR of 6.4% over that period. We have maintained market share in the mobile applications processor market of greater than 99% for many years, by virtue of all key mobile operating systems, including Android, depending on Arm processors.</w:t>
      </w:r>
    </w:p>
    <w:p>
      <w:pPr>
        <w:spacing w:after="0" w:line="19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expect the value of the market for mobile applications processors to continue to grow, particularly in light of several smartphone usage trends that are increasing the need for high-performance processing capabilities:</w:t>
      </w:r>
    </w:p>
    <w:p>
      <w:pPr>
        <w:spacing w:after="0" w:line="76" w:lineRule="exact"/>
        <w:rPr>
          <w:sz w:val="20"/>
          <w:szCs w:val="20"/>
          <w:color w:val="auto"/>
        </w:rPr>
      </w:pPr>
    </w:p>
    <w:p>
      <w:pPr>
        <w:ind w:left="1080" w:right="2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5G Modems</w:t>
      </w:r>
      <w:r>
        <w:rPr>
          <w:rFonts w:ascii="Arial" w:cs="Arial" w:eastAsia="Arial" w:hAnsi="Arial"/>
          <w:sz w:val="18"/>
          <w:szCs w:val="18"/>
          <w:color w:val="auto"/>
        </w:rPr>
        <w:t>: Many smartphones are now built with 5G technology, which enables new data-intensive applications for the smartphone,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driving the need for even greater performance while maintaining or improving energy efficiency to address the thermal constraints of small form factors.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160" w:hanging="424"/>
        <w:spacing w:after="0" w:line="34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Mobile Gaming</w:t>
      </w:r>
      <w:r>
        <w:rPr>
          <w:rFonts w:ascii="Arial" w:cs="Arial" w:eastAsia="Arial" w:hAnsi="Arial"/>
          <w:sz w:val="16"/>
          <w:szCs w:val="16"/>
          <w:color w:val="auto"/>
        </w:rPr>
        <w:t>: According to International Data Corporation (“IDC”), mobile gaming represented 61% of the overall gaming market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 number of the latest smartphones include Arm’s latest GPU, which makes game graphics more realistic and immersive.</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AI and ML</w:t>
      </w:r>
      <w:r>
        <w:rPr>
          <w:rFonts w:ascii="Arial" w:cs="Arial" w:eastAsia="Arial" w:hAnsi="Arial"/>
          <w:sz w:val="18"/>
          <w:szCs w:val="18"/>
          <w:color w:val="auto"/>
        </w:rPr>
        <w:t>: Emerging AI and ML workloads drive many apps and games, and Armv9-based smartphones have additional instructions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AI and ML functionality.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Mobile Chips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We expect the other mobile chips market to remain relatively flat at approximately $17.6 billion in the calendar year ended December 31, 2022 and approximately $17.5 billion in the calendar year ending December 31, 2025, representing a CAGR of (0.2)% over that period. The market share of Arm-based chips in the other mobile chips market varies by device and is generally higher in chips that run more software (such as modem and connectivity chips) and is lower in chips that require less software (such as power management chips).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Electronics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 includes products found in the home, such as digital TVs, tablets, laptops, XR headsets and wearables. We expect the CE chip market to grow from approximately $46.9 billion in the calendar year ended December 31, 2022 to approximately $53.2 billion in the calendar year ending December 31, 2025, representing a CAGR of 4.3% over that period.</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market share of Arm-based chips in consumer electronics is increasing as new product categories, such as smart speakers, XR headsets and laptops, adopt Arm products to achieve high performance without sacrificing efficiency. Laptops with Microsoft Windows and Google Chrome operating systems also utilize Arm products. The adoption of smart wearables is expected to continue, with IDC projecting the number of wearables to grow at a CAGR of 4.7% between 2022 and 2027. Similarly, augmented reality and virtual reality hardware is reaching an inflection point, with IDC projecting the number of such hardware shipments to grow at a CAGR of 32.0% between 2022 and 2027.</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Industrial IoT and Embedded</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industrial IoT and embedded semiconductor TAM includes chips used by a wide range of goods, including washing machines, thermostats, digital cameras, drones, sensors, surveillance cameras, manufacturing equipment, robotics, electric motor controllers and city infrastructure and building management equipment. IDC expects the total number of IoT connected devices to grow from approximately 37.6 billion in 2022 to approximately 49.1 billion by 2026. We expect the industrial IoT and embedded chip market to grow from approximately $41.5 billion in the calendar year ended December 31, 2022 to $50.5 billion in the calendar year ending December 31, 2025, representing a CAGR of 6.7% over that period.</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Many manufacturers and logistics companies are using advanced sensors and smart machines capable of capturing and analyzing data in real time to improve and automate industrial processes and logistics systems. Combining the data captured by sensors with AI and data analytics can result in improvements in manufacturing yield and system throughput. Our products are broadly applicable for sensors and embedded computers that require small, power efficient and smart processors.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Networking Equipment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networking equipment TAM includes chips deployed into wireless networking such as base-station equipment, enterprise Wi-Fi, and wired networking equipment such as routers and switches. According to</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IBISWorld, total internet traffic volume is expected to grow from 335 exabytes per month in 2022 to 580 exabytes per month in 2025, representing a CAGR of 20%, thereby increasing the need to deploy additional networking equipment.</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market is growing as more wired and wireless infrastructure is deployed, as much of the data consumed in the cloud is created at the edge and needs to be transmitted over networks to the data center for processing. We expect the networking equipment chip market to grow from approximately $17.2 billion in the calendar year ended December 31, 2022 to approximately $18.2 billion in the calendar year ending December 31, 2025, representing a CAGR of 1.8% over that period. Arm is posed to accelerate market-share gains resulting from the deployment of 5G networks as infrastructure scales from fewer large cell towers covering a wide area to a large number of small cells providing high-speed coverage, with a single architecture across both large and small cells to allow for flexible deployment of software and workloads.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Cloud Compute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cloud compute market includes the main server chips, DPUs, and SmartNICs used by CSPs to run their operations. These CSPs include Amazon AWS, Microsoft Azure, Google Cloud, Alibaba Cloud, Baidu, Inc., Tencent Holdings Ltd. and Oracle Corporation. We expect the cloud compute market to grow from approximately $17.9 billion in the calendar year ended December 31, 2022 to approximately $28.4 billion in the calendar year ending December 31, 2025, representing a CAGR of 16.6% over that period. The increase in cloud computing has been driven by the rapid increase in data traffic generated by consumers and enterprises globally and by the migration of enterprise workloads to the cloud. As a result, IDC predicts spending on cloud infrastructure to reach approximately 68% of total compute and storage infrastructure spend by 2027. As the volume of workloads continues to increase, CSPs are increasingly seeking custom processor solutions that can deliver improvements in performance per watt and total cost of ownership.</w:t>
      </w:r>
    </w:p>
    <w:p>
      <w:pPr>
        <w:spacing w:after="0" w:line="192"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Arm-based chips have been gaining market share as CSPs, such as Amazon and Alibaba, have started to deploy Arm products in their own in-house designed chips used in their data centers, and as other CSPs, such as Microsoft and Oracle, start to deploy chips designed by Arm licensees, such as Ampere. As a result, we expect our market share of cloud compute to grow significantly faster than the overall cloud compute market.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Infrastructure</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Other Infrastructure refers to the technological components and systems that support various aspects of computing, networking, and data processing and include chips deployed into HPC systems, enterprise servers, and edge networking equipment. We expect the other infrastructure market to grow from approximately $12.7 billion in the calendar year ended December 31, 2022 to approximately $13.7 billion in the calendar year ending December 31, 2025, representing a CAGR of 2.7% over that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automotive TAM includes all chips with processors within vehicles. This includes chips used for IVI, ADAS, engine management, and body and chassis control. We expect the automotive chip market to grow from approximately $18.8 billion in the calendar year ended December 31, 2022 to approximately $29.1 billion in the calendar year ending December 31, 2025, representing a CAGR of 15.7% over that period. Today, our market share in the automotive market is highest in more technologically advanced functional areas such as IVI and ADAS.</w:t>
      </w:r>
    </w:p>
    <w:p>
      <w:pPr>
        <w:spacing w:after="0" w:line="17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automotive TAM is expected to increase as ADAS, electrification, IVI, and eventually autonomous driving, accelerate requirements for higher compute performance in newly manufactured vehicles. At the same time, automakers must operate with strict constraints on power consumption, heat dissipation, and packaging, while prioritizing functional safety. Furthermore, automotive electronics are transitioning from hardware-defined</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to software-defined architecture and compute, enabling new services and features such as ADAS to be continuously improved via over-the-air updates. Gartner estimates that by 2029, software-defined vehicles will surpass 90% of total unit production, up from 3% in 2021. Many of these trends mirror the evolution of the smartphone and, therefore, we believe that we are well positioned to outpace the growth of the overall automotive market.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 and Customers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open and flexible business model provides access to high quality CPU products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Total Access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Arm Total Access provides access to the widest range of Arm products and is intended for customers who use Arm products in chips for multiple end markets. An Arm Total Access licensee pays an annual fee determined at execution of the agreement, and, in return, the licensee gains access to our portfolio of products, including new products that are introduced during the term of the license. As of March 31, 2023, we had 18 Arm Total Access agreements, including leading CSPs, microcontroller chip vendors, and networking chip vendors. Arm Total Access customers include Amazon AWS, Infineon Technologies AG, Marvell Technology, Inc., Microsoft, NXP Semiconductors N.V., Realtek Semiconductor Corp, STMicroelectronics N.V. and others.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Flexible Access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Arm Flexible Access is a low cost entry model for smaller companies and provides access to some of our most popular products for consumer electronics and embedded computing. An Arm Flexible Access licensee pays a nominal fee per year and, in return, gains access to more than 80 components, including our Cortex-M and Cortex-R family of CPUs and many of the most widely deployed Cortex-A CPUs and our System IP products. Although customers are free to experiment with products contained in the Arm Flexible Access package, they must pay a single use license fee for any products they include in a final chip design, and such license fee is based on the specific products incorporated in that final chip design. As of March 31, 2023, we had 203 Arm Flexible Access agreements, including many smaller companies and start-ups who are still developing their first Arm-based chip.</w:t>
      </w:r>
    </w:p>
    <w:p>
      <w:pPr>
        <w:spacing w:after="0" w:line="16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Both Arm Total Access and Arm Flexible Access agreements provide our customers with access to a broad portfolio of Arm products, which changes the relationship between Arm and our customer from a sales engagement to a design partnership. Once the Arm Total Access or Arm Flexible Access is signed, our focus moves to design wins, helping our customer maximize the value of the Arm products that they have licensed.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License Agreements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 Technology License Agreement has been the primary means for a customer to access Arm products for many years. To gain access to Arm products under a TLA, a customer pays a fixed license fee to access a single CPU product or other technology design. The license fee depends on which Arm products are being licensed, the term during which the licensee is able to design using our products covered by the license (manufacturing rights are typically perpetual), and the number of chip products of the licensee that may use our products.</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we have deepened our relationships with our customers, we have started to migrate them to more holistic license agreements, including Arm Total Access and Arm Flexible Access agreements.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Architecture Licenses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 very small number of companies want to design customized Arm CPUs for their next generation chips. For these companies, we can provide an architecture license which allows the licensee to develop their own CPU design that is compliant with the Arm ISA. In addition to the architecture license fee, the licensee agrees to pay a royalty on every chip that contains the Arm-compliant design. As the creation of an optimized CPU is very costly and time consuming, architecture licensees often also license Arm CPU products to use either as a complementary processor alongside the licensee’s Arm-compliant CPU design, or in other chips where the licensee’s own design is unsuitable. We expect the number of new licensees for this technology to diminish over time as the effort required on their part to provide the customization often does not provide a reasonable return on investment.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licenses can yield royalties for many years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Regardless of the license model a customer uses, we receive a per-unit royalty fee on substantially every chip shipped. Because each chip may ship for many years, and each Arm CPU can be reused in new products as new applications emerge, these licensing agreements help to ensure a long tail of recurring royalty revenues, which provide significant visibility into future revenue streams. Arm is still collecting royalty revenues for products that were first developed and licensed in the early 1990s. For example, based on royalty revenue information provided to us by customers in quarterly royalty reports, approximately 46% of our royalty revenue for the fiscal year ended March 31, 2023 came from products released between 1990 to 2012. Our recurring royalties support Arm’s revenue growth into the future and provide enhanced performance visibility and predictability, as new products and architectures are launched.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enjoyed success for more than 30 years by providing market-leading technology, adapting our solution to changing market needs and building a software developer ecosystem unlike any other in history. Our competitive strengths include:</w:t>
      </w:r>
    </w:p>
    <w:p>
      <w:pPr>
        <w:spacing w:after="0" w:line="72" w:lineRule="exact"/>
        <w:rPr>
          <w:sz w:val="20"/>
          <w:szCs w:val="20"/>
          <w:color w:val="auto"/>
        </w:rPr>
      </w:pPr>
    </w:p>
    <w:p>
      <w:pPr>
        <w:ind w:left="1080" w:right="20" w:hanging="424"/>
        <w:spacing w:after="0" w:line="269"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Technology Leadership with Proven Capabilities Across Markets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Arm CPU technology has been an industry leader for many years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continues to be the most widely deployed architecture globally. Since our inception, our customers have shipped more than 250 billion Arm-based chips, and we estimate that Arm had an approximate 49% market share by value in the calendar year ended December 31, 2022, up from approximately 39% in the calendar year ended December 31, 2014. Our products are used in virtually all smartphones, a majority of tablets and digital TVs, and a significant proportion of all chips with embedded processors. We have an established presence in the cloud market, working with many of the largest hyperscalers, including Amazon, Alibaba, Alphabet and Microsoft. In 2018, we entered the cloud compute market, and, as of December 31, 2022, we have grown our market share to approximately 10%. In the automotive market, we work with many of the leading suppliers, and we believe that, on average, each new vehicle produced in our fiscal year ended March 31, 2023 contained approximately 13 Arm-based chips. Our products deliver leading performance per watt and provides the flexibility to design custom chips, addressing the growing need for power-efficient compute capabilities. We believe that these factors, which have driven our success in the mobile and consumer electronics markets, are emerging as key factors in the automotive, cloud compute, networking equipment, and other growth markets.</w:t>
      </w:r>
    </w:p>
    <w:p>
      <w:pPr>
        <w:spacing w:after="0" w:line="84" w:lineRule="exact"/>
        <w:rPr>
          <w:rFonts w:ascii="Arial" w:cs="Arial" w:eastAsia="Arial" w:hAnsi="Arial"/>
          <w:sz w:val="17"/>
          <w:szCs w:val="17"/>
          <w:color w:val="auto"/>
        </w:rPr>
      </w:pPr>
    </w:p>
    <w:p>
      <w:pPr>
        <w:ind w:left="1080" w:right="20" w:hanging="424"/>
        <w:spacing w:after="0" w:line="25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World’s Most Extensive Ecosystem of Third-Party Software and Hardware Partners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 has the world’s largest ecosystem of third-party software and hardware partners, including chip design and verification tools vendors, advanced fabrication, operating system and application vendors, software tools providers, and training and support services companies. As of March 31, 2023, more than 1,000 partner companies were invested in developing products that complement Arm’s technology, allowing Arm customers to get their products to market more efficiently with reduced cost, development time,</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120"/>
        <w:spacing w:after="0" w:line="291" w:lineRule="auto"/>
        <w:rPr>
          <w:sz w:val="20"/>
          <w:szCs w:val="20"/>
          <w:color w:val="auto"/>
        </w:rPr>
      </w:pPr>
      <w:r>
        <w:rPr>
          <w:rFonts w:ascii="Arial" w:cs="Arial" w:eastAsia="Arial" w:hAnsi="Arial"/>
          <w:sz w:val="16"/>
          <w:szCs w:val="16"/>
          <w:color w:val="auto"/>
        </w:rPr>
        <w:t>and risk. The wide deployment of chips based on the Arm ISA provides software and tools companies with a large market to develop and sell their products into. As of March 31, 2023, there were more than 8 million apps running on Arm-based devices built by more than</w:t>
      </w:r>
    </w:p>
    <w:p>
      <w:pPr>
        <w:ind w:left="1100"/>
        <w:spacing w:after="0" w:line="252" w:lineRule="auto"/>
        <w:rPr>
          <w:sz w:val="20"/>
          <w:szCs w:val="20"/>
          <w:color w:val="auto"/>
        </w:rPr>
      </w:pPr>
      <w:r>
        <w:rPr>
          <w:rFonts w:ascii="Arial" w:cs="Arial" w:eastAsia="Arial" w:hAnsi="Arial"/>
          <w:sz w:val="18"/>
          <w:szCs w:val="18"/>
          <w:color w:val="auto"/>
        </w:rPr>
        <w:t>15 million developers designing software for Arm-based systems.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 Building the required software ecosystem around an architecture requires significant investment and can take decades. For instance, we started to invest in the technology and ecosystem for the server market in 2007, but it took over 10 years for Arm to start to gain share, given the lack of an existing hardware/software ecosystem at the start.</w:t>
      </w:r>
    </w:p>
    <w:p>
      <w:pPr>
        <w:spacing w:after="0" w:line="95" w:lineRule="exact"/>
        <w:rPr>
          <w:sz w:val="20"/>
          <w:szCs w:val="20"/>
          <w:color w:val="auto"/>
        </w:rPr>
      </w:pPr>
    </w:p>
    <w:p>
      <w:pPr>
        <w:ind w:left="1080" w:hanging="424"/>
        <w:spacing w:after="0" w:line="287"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Deep Integration with Customers and Ecosystem Partners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work closely with our customers and ecosystem partners to understand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industry trends and the evolution of end markets. We have 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We believe that it is essential that we align with our customers on their development plans and engineering timeline, so that our products meet or exceed their requirements and are delivered at the right time in their chip development timeline. Because it can take two to three years to design a new Arm processor, and it can take another two to three years to develop a chip, this close relationship with our customers’ R&amp;D functions can provide us with unparalleled visibility into the product pipeline of our customers and, by extension, their customers and end markets.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w:t>
      </w:r>
    </w:p>
    <w:p>
      <w:pPr>
        <w:spacing w:after="0" w:line="77" w:lineRule="exact"/>
        <w:rPr>
          <w:rFonts w:ascii="Arial" w:cs="Arial" w:eastAsia="Arial" w:hAnsi="Arial"/>
          <w:sz w:val="16"/>
          <w:szCs w:val="16"/>
          <w:color w:val="auto"/>
        </w:rPr>
      </w:pPr>
    </w:p>
    <w:p>
      <w:pPr>
        <w:ind w:left="1080" w:right="40" w:hanging="424"/>
        <w:spacing w:after="0" w:line="269"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Efficient Model and Long-Term Visibility Enables Investment in Future Products. </w:t>
      </w:r>
      <w:r>
        <w:rPr>
          <w:rFonts w:ascii="Arial" w:cs="Arial" w:eastAsia="Arial" w:hAnsi="Arial"/>
          <w:sz w:val="17"/>
          <w:szCs w:val="17"/>
          <w:color w:val="auto"/>
        </w:rPr>
        <w:t>Our business model provides significant flexibility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 long-term investments in future products. We have a capital-light and people-focused model, with most of our investments directed at hiring and retaining engineers undertaking advanced research and development. With few exceptions, there are no direct costs associated with signing a technology license or in collecting a royalty, which enabled us, in the fiscal year ended March 31, 2023, to generate 96% gross margins and fund extensive investments in research and development. Arm incurs research and development investments today for the development of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 and approximately 46% of royalty revenue received in the fiscal year ended March 31, 2023 came from products released between 1990 to 2012, based on royalty revenue information provided to us by customers in quarterly royalty reports.</w:t>
      </w:r>
    </w:p>
    <w:p>
      <w:pPr>
        <w:spacing w:after="0" w:line="84" w:lineRule="exact"/>
        <w:rPr>
          <w:rFonts w:ascii="Arial" w:cs="Arial" w:eastAsia="Arial" w:hAnsi="Arial"/>
          <w:sz w:val="17"/>
          <w:szCs w:val="17"/>
          <w:color w:val="auto"/>
        </w:rPr>
      </w:pPr>
    </w:p>
    <w:p>
      <w:pPr>
        <w:ind w:left="1080" w:right="200" w:hanging="424"/>
        <w:spacing w:after="0" w:line="293"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Satisfy our Customers’ Processor Design Needs in a Mutually Beneficial Way. </w:t>
      </w:r>
      <w:r>
        <w:rPr>
          <w:rFonts w:ascii="Arial" w:cs="Arial" w:eastAsia="Arial" w:hAnsi="Arial"/>
          <w:sz w:val="16"/>
          <w:szCs w:val="16"/>
          <w:color w:val="auto"/>
        </w:rPr>
        <w:t>We invest extensively in creating leading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can be used across 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 house.</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line="290"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World-Class R&amp;D Team with a Proven Track Record of Innovation. </w:t>
      </w:r>
      <w:r>
        <w:rPr>
          <w:rFonts w:ascii="Arial" w:cs="Arial" w:eastAsia="Arial" w:hAnsi="Arial"/>
          <w:sz w:val="16"/>
          <w:szCs w:val="16"/>
          <w:color w:val="auto"/>
        </w:rPr>
        <w:t>We are an engineering-first company, with 4,753 of our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approximately 80% of our global employees, as of March 31, 2023, focused on research, design, and technical innovation. Our customers rely on us to deliver advanced technology, leveraging our extensive capabilities and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assess our investments through the lens of sustainable growth. Our research and development and new business initiatives are often tied to revenue streams five to ten years in the future, while our historical investments drive revenue and enable profitability and cash flow generation today. Key levers of our growth strategy are:</w:t>
      </w:r>
    </w:p>
    <w:p>
      <w:pPr>
        <w:spacing w:after="0" w:line="89" w:lineRule="exact"/>
        <w:rPr>
          <w:sz w:val="20"/>
          <w:szCs w:val="20"/>
          <w:color w:val="auto"/>
        </w:rPr>
      </w:pPr>
    </w:p>
    <w:p>
      <w:pPr>
        <w:ind w:left="1080" w:right="40" w:hanging="424"/>
        <w:spacing w:after="0" w:line="288"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Gain or Maintain Share in Long-Term Growth Markets. </w:t>
      </w:r>
      <w:r>
        <w:rPr>
          <w:rFonts w:ascii="Arial" w:cs="Arial" w:eastAsia="Arial" w:hAnsi="Arial"/>
          <w:sz w:val="16"/>
          <w:szCs w:val="16"/>
          <w:color w:val="auto"/>
        </w:rPr>
        <w:t>We already have significant market share in some high-value markets,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mobile applications processors, which enables us to invest in other growth opportunities. As of December 31, 2022, our market share in growth markets, including cloud computing, networking equipment, automotive and consumer electronics, was 10%, 26%, 41%, and 32%, respectively. We believe that the increasing need for high-powered and energy-efficient computing, as well as our continued investments, will enable us to grow our market share in these segments. We are gaining share in cloud compute, as we provide CPU products that have leading performance per watt, and we provide CSPs with the flexibility to design their own chips to meet their specific needs more effectively, at a much lower cost than purchasing an off-the-shelf chip based on an alternative architecture. Additionally, the automotive market is being transformed through increasingly advanced vehicle software, infotainment, ADAS and eventually autonomous systems, which drives the need for more chips and more advanced chips in every vehicle. We already have a leading share of these new chips being integrated into vehicles today, and we believe we are well positioned to be the CPU architecture for vehicles of the future.</w:t>
      </w:r>
    </w:p>
    <w:p>
      <w:pPr>
        <w:spacing w:after="0" w:line="73" w:lineRule="exact"/>
        <w:rPr>
          <w:rFonts w:ascii="Arial" w:cs="Arial" w:eastAsia="Arial" w:hAnsi="Arial"/>
          <w:sz w:val="16"/>
          <w:szCs w:val="16"/>
          <w:color w:val="auto"/>
        </w:rPr>
      </w:pPr>
    </w:p>
    <w:p>
      <w:pPr>
        <w:ind w:left="1080" w:right="60" w:hanging="424"/>
        <w:spacing w:after="0" w:line="26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Increase the Value of Arm Processors in Every Smart Device</w:t>
      </w:r>
      <w:r>
        <w:rPr>
          <w:rFonts w:ascii="Arial" w:cs="Arial" w:eastAsia="Arial" w:hAnsi="Arial"/>
          <w:sz w:val="17"/>
          <w:szCs w:val="17"/>
          <w:color w:val="auto"/>
        </w:rPr>
        <w:t>. As chip designs become more advanced and complex, we believe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additional functionality, higher performance, higher efficiency, and more specialized designs will allow us to deliver more value to our partners. For smartphones, we continue to increase our investments in CPU and GPU products to provide PC-like speed and graphics and all-day battery life. For the automotive market, our CPUs balance increasing performance with the constraints of energy consumption and heat dissipation, while also meeting the highest Automotive Safety Integrity Level standards required for ADAS and autonomous driving. For servers and high-end networking equipment, we are enabling market-leading core counts, such as in Ampere’s Altra Max and Alibaba’s Yitian 710 server processors, which both have 128 Arm CPU cores. These innovations enable us to license more advanced Arm products, and for our customers to implement Arm-based chips with multiple CPUs and more cores, all of which allow us to capture more value per chip. For example, a chip with an Arm CPU based on the latest Armv9 architecture and with eight cores, plus an Arm GPU, will typically have a much higher royalty rate than a chip with a dual-core Arm CPU core based on an older architecture. Our customers have only just started to ship chips based on the latest Armv9 technology, enabling natural expansion in our royalty per chip as the deployment of our latest technology accelerates.</w:t>
      </w:r>
    </w:p>
    <w:p>
      <w:pPr>
        <w:spacing w:after="0" w:line="84"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System IP and SoC Offerings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enable further improvements in performance and efficiency, we continue to develop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broader set of configurable systems IP offerings, including proven</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right="60"/>
        <w:spacing w:after="0" w:line="293" w:lineRule="auto"/>
        <w:rPr>
          <w:sz w:val="20"/>
          <w:szCs w:val="20"/>
          <w:color w:val="auto"/>
        </w:rPr>
      </w:pPr>
      <w:r>
        <w:rPr>
          <w:rFonts w:ascii="Arial" w:cs="Arial" w:eastAsia="Arial" w:hAnsi="Arial"/>
          <w:sz w:val="16"/>
          <w:szCs w:val="16"/>
          <w:color w:val="auto"/>
        </w:rPr>
        <w:t>on-chip interconnect, security IP, memory controllers, and other design IP to be used with our processors, including the integration of multiple IP technologies into a subsystem and additional information to assist in fabrication.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w:t>
      </w:r>
    </w:p>
    <w:p>
      <w:pPr>
        <w:spacing w:after="0" w:line="70" w:lineRule="exact"/>
        <w:rPr>
          <w:sz w:val="20"/>
          <w:szCs w:val="20"/>
          <w:color w:val="auto"/>
        </w:rPr>
      </w:pPr>
    </w:p>
    <w:p>
      <w:pPr>
        <w:ind w:left="1080" w:right="100" w:hanging="424"/>
        <w:spacing w:after="0" w:line="255"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Next-Generation Technologies. </w:t>
      </w:r>
      <w:r>
        <w:rPr>
          <w:rFonts w:ascii="Arial" w:cs="Arial" w:eastAsia="Arial" w:hAnsi="Arial"/>
          <w:sz w:val="18"/>
          <w:szCs w:val="18"/>
          <w:color w:val="auto"/>
        </w:rPr>
        <w:t>We continuously evaluate emerging markets and technologies that may enable us to create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 markets, such as consumer electronics and automotive, to deploy AI-based solutions. For the networking, cloud and data center markets, we continue to add AI-specific features to our CPUs to enable market-leading performance.</w:t>
      </w:r>
    </w:p>
    <w:p>
      <w:pPr>
        <w:spacing w:after="0" w:line="97"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Benefit from the Flexibility of Arm Products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Arm processor provides a certain compute capability within a power budget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growing proliferation of devices and use cases.</w:t>
      </w:r>
    </w:p>
    <w:p>
      <w:pPr>
        <w:spacing w:after="0" w:line="97"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Access to Arm Products Through our Flexible Business Model. </w:t>
      </w:r>
      <w:r>
        <w:rPr>
          <w:rFonts w:ascii="Arial" w:cs="Arial" w:eastAsia="Arial" w:hAnsi="Arial"/>
          <w:sz w:val="18"/>
          <w:szCs w:val="18"/>
          <w:color w:val="auto"/>
        </w:rPr>
        <w:t>We are focused on making Arm products as easy as possible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and to integrate into a chip design. We will continue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 and Data Privacy</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are focused on delivering to our customers and third-party partners a secure environment that supports innovation and the development of our products while reinforcing our position as a trusted partner in the ecosystem. We collect, store and otherwise process certain personal, confidential, and proprietary information in the ordinary course of our business, including trade secrets, employee data and other sensitive data. In addition, our third-party partners and customers regularly provide us with highly sensitive information, including details about their future product plans and roadmaps. To protect this information, our dedicated Enterprise Security team works on an ongoing basis to develop our understanding of active threats targeting Arm and its partner ecosystem and effectively leverages this intelligence using security analytics and automated testing to improve our situational awareness and defense. Our security model and controls are based on international standards and industry best practices, such as the National Institute of Standards and Technology’s cyber security framework.</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also have a dedicated privacy team that builds and executes our privacy program, which includes working with our legal team to conduct privacy and impact assessments and reviews, and support data protection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and privacy-related requests. We continually monitor the regulatory environment and from time to time make additional changes to our services and business practices to enable us and our customers to comply with applicable laws, regulations, rules, standards, and other obligations. See “Risk Factors —Risks Relating to Government Regulation and Legal Compliance—Actual or perceived failures to satisfy data protection, security, privacy or other laws, regulations, rules, standards and other government- and industry-specific obligations could adversely affect our business, results of operations, financial condition and reputation.”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believe that our architecture and CPU designs are the leading independent processor technologies licensed to other companies. In addition, our established worldwide network of partners and customers affords us broad presence, which paired with an unparalleled software developer ecosystem gives us an advantage over other companies that license processor-related technology. Our products are used in nearly all smartphones, a majority of tablets and digital TVs, and a significant proportion of all chips with embedded processors. In addition, we believe that our extensive ecosystem and the high barriers to entry into certain of our end markets enhance our competitive position. The breadth of our ecosystem creates a virtuous cycle that benefits our customers and closely integrates us into their design cycle. We have deep relationships with our customers and ecosystem partners, which provide unique visibility across the entire semiconductor industry.</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compete based on a variety of factors, including price, performance, product quality, software availability, marketing and distribution capability, customer support, name recognition and financial strength. Further, given our reliance on our partners and customers, our competitive position is dependent on our partners’ and customers’ competitive positions. In addition, our partners and customers do not license our products exclusively; rather, several of our partners and customers also design, develop, manufacture and market processors based on non-Arm based architectures as well as develop their own Physical IP in-house. Our partners and customers compete with each other and with us in various applications. The level of competition and the nature of the competitor generally varies based on the end market. For established markets where there is an incumbent architecture with a supporting ecosystem, it can be difficult for a new architecture to displace existing architectures and, therefore, to gain market share. For example, we have made significant progress and have established a large market share in markets such as smartphones, consumer electronics and IoT. We face competition primarily from other architectures like x86 and RISC-V in many of these markets. Furthermore, certain semiconductor companies, including some of our existing customers, have designed or are in the process of designing their own architectures in markets such as smartphone application processors, other mobile chips, consumer electronics, IoT and embedded computing, networking equipment, automotive, and cloud compute.</w:t>
      </w:r>
    </w:p>
    <w:p>
      <w:pPr>
        <w:spacing w:after="0" w:line="17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markets for our products are intensely competitive and are characterized by rapid technological change. These changes result in frequent product introductions, short product life cycles and increased product capabilities typically representing significant price and performance improvements. We face significant competition from established technologies such as the x86 architecture, as well as from free, open-source technologies, including the RISC-V architecture. Many of our customers are also major supporters of the RISC-V architecture and related technologies. If the RISC-V architecture and related technologies continue to be developed and market support for RISC-V increases, our customers may choose to utilize this free, open-source architecture instead of our products. The x86 and RISC-V architectures have business models that are different from ours and may be more attractive to our customers. Our current and potential competitors also may establish cooperative relationships among themselves or with third parties that may further enhance their resources or strengthen their positions within these markets or they may be subject to more favorable regulatory regimes. In addition, some semiconductor companies, including certain of our customers, have developed their own proprietary architecture for specific markets or applications.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“Risk Factors—Risks Relating to Our Business and Industry.”</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Sales and Partner Enablement</w:t>
      </w:r>
    </w:p>
    <w:p>
      <w:pPr>
        <w:spacing w:after="0" w:line="12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believe that we have the industry’s largest ecosystem of third-party software and hardware partners, including advanced manufacturing, OS and application developers, software tools vendors, and training and support services. The availability of our marketing, sales and support services to our ecosystem is critical to the success of our products and allows us to create and maintain deep customer and partner relationships, through which we have visibility into the future requirements of the end markets for our products. As of March 2023, we had over 650 employees across the world dedicated to marketing, sales, and partner enablement. We market our products directly to our semiconductor partners and customers from our offices across the world. Our CPUs and related technologies are marketed on the basis of a number of factors, including performance, power consumption, price, speed-to-market, support and maintenance offerings and the availability of third-party support. We also capitalize on the extensive marketing and distribution networks of our semiconductor partners who market and distribute our products directly to systems companies.</w:t>
      </w:r>
    </w:p>
    <w:p>
      <w:pPr>
        <w:spacing w:after="0" w:line="16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solution is used by many different types of customers, including major chip vendors, OEMs, service providers, start-ups or small business units, and researchers and academics. The combination of billions of chips, shipping into myriad end markets, the breadth of our software ecosystem, and the millions of chip design engineers and software developers collectively has created a virtuous cycle in which software developers write software for Arm-based devices because it is the biggest market for their products, and chip designers choose our processors because they have the broadest support network. As a result, we believe we are well-positioned to continue to attract and retain customers through our dedicated marketing, sales and partner enablement teams.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an engineering-first company, with approximately 80% of our global employees, as of March 31, 2023, focused on research, design, and technical innovation, and we have global operations and research and development centers in the U.K., Europe, North America, India, and Asia-Pacific. Our ability to compete is substantially dependent on advancement of our products in order to meet evolving market demands. Our engineers are involved in researching and developing new versions of processor cores, specialist processors, such as graphics IP and AI accelerators, System IP and Physical IP technology as well as related software and tools applications. Our significant research and development investments and increasing market share in certain markets, such as mobile applications processors, consumer electronics, and embedded computing, enable us to invest more effectively and efficiently in the development of new products in various end markets such as the automotive and cloud computing markets. We have committed, and intend to continue to commit, significant financial and other resources to technology and product innovation and development. For more information about our research and development policies, see “Management’s Discussion and Analysis of Financial Condition and Results of Operations —Components of Results of Operations—Research and Development” and “Management’s Discussion and Analysis of Financial Condition and Results of Operations—Results of Operations—Comparison of Performance for the Fiscal Years Ended March 31, 2022 and 2021—Research and Development.”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success and ability to compete effectively depend significantly on protecting our IP. To protect our IP rights, we primarily rely on patent, copyright, trade secret and trademark laws, trade secret protection and confidentiality agreements, as well as license agreements with our employees, customers, partners, and others. We have an active program of protecting our proprietary technology through the filing of patents, registration of trademarks, and use of confidentiality agreements and other IP rights. As of March 31, 2023, we owned or co-owned approximately 6,800 issued patents and have approximately 2,700 patent applications pending worldwide. The majority of these patents and patent applications fall into the categories of processor architecture and microarchitecture, ML and computer vision, graphic processor architecture, on-chip system design and memory technology. We maintain and support an active program to protect our IP, primarily through encouraging engineers to propose new invention submissions and defending issued patents against infringement.</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Approximately 97% of our active patent portfolio (granted and pending) is owned solely by us, or jointly with, our subsidiaries, with the remaining 3% comprising patent assets jointly owned with one or more third parties. Through intra-group licensing arrangements, we have access to our entire patent portfolio for the purposes of licensing technology or otherwise providing services to third parties.</w:t>
      </w:r>
    </w:p>
    <w:p>
      <w:pPr>
        <w:spacing w:after="0" w:line="18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As a result of our global operations, efforts to protect our technology, trade secrets and other proprietary information can be difficult, particularly in jurisdictions that provide limited or no protection for IP rights. If confidential information (including, but not limited to, trade secrets, and proprietary technology and information) is improperly shared we would likely seek to determine the source and whether or not financial losses could be recovered through contractual claims against a licensee. Additionally, we would seek to block importation of finished goods created in such “limited-protection” territories into territories where there exist better protections. Although we intend to protect our rights vigorously, there can be no assurance that such measures will be successful. See “Risk Factors—Risks Relating to Our Business and Industry—Failure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IPLA with Arm China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party to the IPLA with Arm China.</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IPLA, Arm China licenses certain of our IP from us. In turn, Arm China sublicenses such IP to its PRC customers, as the exclusive distributor of our IP licenses to customers in the PRC.</w:t>
      </w:r>
    </w:p>
    <w:p>
      <w:pPr>
        <w:spacing w:after="0" w:line="76" w:lineRule="exact"/>
        <w:rPr>
          <w:sz w:val="20"/>
          <w:szCs w:val="20"/>
          <w:color w:val="auto"/>
        </w:rPr>
      </w:pPr>
    </w:p>
    <w:p>
      <w:pPr>
        <w:ind w:left="1080" w:right="4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Arm China is permitted to sublicense to customers in the PRC. This includes any ultimate parent of a group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in the PRC and traded on any official stock exchange, any entity whose ultimate parent is incorporated in the PRC, and any entity under the ultimate control of a PRC citizen. However, it does not include PRC subsidiaries of companies incorporated outside of the PRC, even though these companies may still sell products in the PRC.</w:t>
      </w:r>
    </w:p>
    <w:p>
      <w:pPr>
        <w:spacing w:after="0" w:line="92"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Products. </w:t>
      </w:r>
      <w:r>
        <w:rPr>
          <w:rFonts w:ascii="Arial" w:cs="Arial" w:eastAsia="Arial" w:hAnsi="Arial"/>
          <w:sz w:val="18"/>
          <w:szCs w:val="18"/>
          <w:color w:val="auto"/>
        </w:rPr>
        <w:t>Arm China can sublicense our standard IP offerings. Arm China is required to procure our consent in order to sublicense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non-standard technology or architectural licenses.</w:t>
      </w:r>
    </w:p>
    <w:p>
      <w:pPr>
        <w:spacing w:after="0" w:line="62" w:lineRule="exact"/>
        <w:rPr>
          <w:rFonts w:ascii="Arial" w:cs="Arial" w:eastAsia="Arial" w:hAnsi="Arial"/>
          <w:sz w:val="18"/>
          <w:szCs w:val="18"/>
          <w:color w:val="auto"/>
        </w:rPr>
      </w:pPr>
    </w:p>
    <w:p>
      <w:pPr>
        <w:ind w:left="1100" w:right="320"/>
        <w:spacing w:after="0" w:line="277" w:lineRule="auto"/>
        <w:rPr>
          <w:rFonts w:ascii="Arial" w:cs="Arial" w:eastAsia="Arial" w:hAnsi="Arial"/>
          <w:sz w:val="18"/>
          <w:szCs w:val="18"/>
          <w:color w:val="auto"/>
        </w:rPr>
      </w:pPr>
      <w:r>
        <w:rPr>
          <w:rFonts w:ascii="Arial" w:cs="Arial" w:eastAsia="Arial" w:hAnsi="Arial"/>
          <w:sz w:val="18"/>
          <w:szCs w:val="18"/>
          <w:color w:val="auto"/>
        </w:rPr>
        <w:t>We may remove any sublicensable IP that we declare obsolete or no longer generally make available to our licensees, whereupon Arm China’s rights with respect to such IP are limited to licenses it previously granted.</w:t>
      </w:r>
    </w:p>
    <w:p>
      <w:pPr>
        <w:spacing w:after="0" w:line="62" w:lineRule="exact"/>
        <w:rPr>
          <w:rFonts w:ascii="Arial" w:cs="Arial" w:eastAsia="Arial" w:hAnsi="Arial"/>
          <w:sz w:val="18"/>
          <w:szCs w:val="18"/>
          <w:color w:val="auto"/>
        </w:rPr>
      </w:pPr>
    </w:p>
    <w:p>
      <w:pPr>
        <w:ind w:left="1100" w:right="60"/>
        <w:spacing w:after="0" w:line="277" w:lineRule="auto"/>
        <w:rPr>
          <w:rFonts w:ascii="Arial" w:cs="Arial" w:eastAsia="Arial" w:hAnsi="Arial"/>
          <w:sz w:val="18"/>
          <w:szCs w:val="18"/>
          <w:color w:val="auto"/>
        </w:rPr>
      </w:pPr>
      <w:r>
        <w:rPr>
          <w:rFonts w:ascii="Arial" w:cs="Arial" w:eastAsia="Arial" w:hAnsi="Arial"/>
          <w:sz w:val="18"/>
          <w:szCs w:val="18"/>
          <w:color w:val="auto"/>
        </w:rPr>
        <w:t>Arm China may only distribute our IP in accordance with our model license terms provided by us. Any deviations from our model license terms require our consent.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There are no material restrictions under the IPLA on the prices that Arm China may set for its sublicenses.</w:t>
      </w:r>
    </w:p>
    <w:p>
      <w:pPr>
        <w:spacing w:after="0" w:line="130" w:lineRule="exact"/>
        <w:rPr>
          <w:rFonts w:ascii="Arial" w:cs="Arial" w:eastAsia="Arial" w:hAnsi="Arial"/>
          <w:sz w:val="18"/>
          <w:szCs w:val="18"/>
          <w:color w:val="auto"/>
        </w:rPr>
      </w:pPr>
    </w:p>
    <w:p>
      <w:pPr>
        <w:ind w:left="1080" w:right="280" w:hanging="424"/>
        <w:spacing w:after="0" w:line="25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initial term of the IPLA is through April 23, 2048, after which the IPLA will automatically renew for consecutive 10-year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until the later of (a) the last to expire of the patents licensed pursuant to the IPLA expires and (b) the last of the trade secrets licensed pursuant to the IPLA ceases to be confidential (other than through the fault of us or Arm China). During the term of the IPLA, Arm China may grant sublicenses to its PRC customers. There are no material restrictions on the duration of the sublicenses that Arm China provides during the term of the IPLA.</w:t>
      </w:r>
    </w:p>
    <w:p>
      <w:pPr>
        <w:spacing w:after="0" w:line="93"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We and Arm China each have the ability to unilaterally terminate the IPLA upon the occurrence of standard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such as the non-terminating party’s material uncured breach of the IPLA, bankruptcy or extended force majeure event of at least 180 days having a material adverse effect on the terminating party.</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Under the IPLA, Arm China may also develop its own IP. However, Arm China is only permitted to develop (i) certain derivative products incorporating our IP and (ii) Arm China’s own products that do not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incorporate our IP, where such products constitute technology related to IC products or technology that enables companies to build ICs, and exclude any “processor cores.” Under the IPLA, we are entitled to approximately 90% of the revenues generated by Arm China on our IP products that it most frequently sublicenses to its customers.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addition, under the IPLA,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the fiscal years ended March 31, 2023, 2022, and 2021, revenues attributable to our relationship with Arm China were approximately 24%, 18%, and 20% of our total revenue, respectively.</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control the operations of Arm China, which operates independently of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 and Human Capital Resources</w:t>
      </w:r>
    </w:p>
    <w:p>
      <w:pPr>
        <w:spacing w:after="0" w:line="121"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Our Core Beliefs define how we work together to ensure our continued success. We believe that our employees’ commitment to developing and contributing positively to our culture in a manner consistent with our Core Beliefs is a differentiating factor that creates a competitive advantage for us and our ecosystem, supports the execution of our long-term business strategy and is attractive to current and prospective employees. Our Core Beliefs are an important aspiration for us and, as part of their annual review, our people are rated on how effectively they live our Core Beliefs.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three Core Beliefs are:</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 great things</w:t>
      </w:r>
      <w:r>
        <w:rPr>
          <w:rFonts w:ascii="Arial" w:cs="Arial" w:eastAsia="Arial" w:hAnsi="Arial"/>
          <w:sz w:val="18"/>
          <w:szCs w:val="18"/>
          <w:color w:val="auto"/>
        </w:rPr>
        <w:t>”—working at pace, embracing challenges, finding a way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not I</w:t>
      </w:r>
      <w:r>
        <w:rPr>
          <w:rFonts w:ascii="Arial" w:cs="Arial" w:eastAsia="Arial" w:hAnsi="Arial"/>
          <w:sz w:val="18"/>
          <w:szCs w:val="18"/>
          <w:color w:val="auto"/>
        </w:rPr>
        <w:t>”—winning together, not alone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 your brilliant self</w:t>
      </w:r>
      <w:r>
        <w:rPr>
          <w:rFonts w:ascii="Arial" w:cs="Arial" w:eastAsia="Arial" w:hAnsi="Arial"/>
          <w:sz w:val="18"/>
          <w:szCs w:val="18"/>
          <w:color w:val="auto"/>
        </w:rPr>
        <w:t>”—exemplified by skillful individuality, performance, and inclusion</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line with our focus on embedding Diversity, Equity and Inclusion (“DEI”) in everything we do, DEI practices are integrated into each of our Core Beliefs.</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part of our Employee Value Proposition, we have made a series of commitments to our people and their experience of working at Arm that we measure through our annual engagement survey. These include ensuring our people contribute to solving the world’s complex technology problems and spend their time on valuable work that matters; rewarding our people competitively and equitably for the work they do and the skills and experience they bring to Arm; developing our people towards the careers they want and supporting their success in work and life; co-creating an inclusive environment by integrating DEI practices into everything we do; and using our position as a global company to be a force for good.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know that diverse teams drive innovation and creativity, excel at solving complex problems and make better decisions. We are committed to fostering a culture of inclusion in which representation matters, people are valued, diverse perspectives are heard, and everyone’s skills are utilized.</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foundation of our DEI strategy is to integrate DEI practices into everything we do. We have four pillars of our DEI strategy:</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People</w:t>
      </w:r>
      <w:r>
        <w:rPr>
          <w:rFonts w:ascii="Arial" w:cs="Arial" w:eastAsia="Arial" w:hAnsi="Arial"/>
          <w:sz w:val="18"/>
          <w:szCs w:val="18"/>
          <w:color w:val="auto"/>
        </w:rPr>
        <w:t>—Hire, support, and empower talent from all backgrounds at all levels throughout the entire employee life cycle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Culture</w:t>
      </w:r>
      <w:r>
        <w:rPr>
          <w:rFonts w:ascii="Arial" w:cs="Arial" w:eastAsia="Arial" w:hAnsi="Arial"/>
          <w:sz w:val="18"/>
          <w:szCs w:val="18"/>
          <w:color w:val="auto"/>
        </w:rPr>
        <w:t>—Embody core beliefs and inclusive actions every day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w:t>
      </w:r>
      <w:r>
        <w:rPr>
          <w:rFonts w:ascii="Arial" w:cs="Arial" w:eastAsia="Arial" w:hAnsi="Arial"/>
          <w:sz w:val="18"/>
          <w:szCs w:val="18"/>
          <w:color w:val="auto"/>
        </w:rPr>
        <w:t>—Lead internally and externally with DEI as a business, people, and culture imperative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Partnerships</w:t>
      </w:r>
      <w:r>
        <w:rPr>
          <w:rFonts w:ascii="Arial" w:cs="Arial" w:eastAsia="Arial" w:hAnsi="Arial"/>
          <w:sz w:val="18"/>
          <w:szCs w:val="18"/>
          <w:color w:val="auto"/>
        </w:rPr>
        <w:t>—Utilize DEI as a strategic enabler across the ecosystem</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developed and regularly review performance indicators to evaluate our progress in pursuit of our DEI priorities. For example, we have a company-wide accountability measure for “commitment to DEI” as part of the annual review process. In the past two years, over 99% of our people have supported our DEI strategy by getting involved in our DEI initiatives.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2022, we were among the winners of the annual Glassdoor Employees’ Choice Awards for the best places to work in the U.K. This award is entirely based on voluntary and anonymous feedback that our employees have shared on Glassdoor.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Wellbeing and Benefits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invest in our people by taking a holistic approach to their wellbeing, which includes physical, mental, social, and financial wellbeing. We offer a range of benefits and programs, like flexible work hours and time off for life-changing and defining situations through our progressive leave policy and support for new parents.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Talent</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aspire to attract, engage, and retain the innovators of tomorrow, and we aim to recruit individuals with diverse backgrounds, skills, and abilities who will contribute to our success. We seek candidates through a variety of channels, including job boards, social networks, universities and more. Our employee referral program is one of our key recruitment tools and, on average, nearly 25% of our hires each quarter join us following a referral by one of our employees.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part of our Early Careers program, we recruited over 150 university graduates globally in the fiscal year ended March 31, 2023, spread across our offices in the U.K., U.S., India and Europe.</w:t>
      </w:r>
    </w:p>
    <w:p>
      <w:pPr>
        <w:spacing w:after="0" w:line="170"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Putting DEI at the heart of our recruiting, we have strategic partnerships to source interns, apprentices, and graduates, and we collaborate with other organizations to recruit individuals with diverse backgrounds. We are committed to a hiring process free of any bias or discrimination and in compliance with applicable laws in each of the countries in which we operate.</w:t>
      </w:r>
    </w:p>
    <w:p>
      <w:pPr>
        <w:spacing w:after="0" w:line="184"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have a learning culture where colleagues are empowered to own and drive development to meet their work and personal goals by learning through the shared experience of others, learning resources and practice. We invest heavily in technical development with a dedicated team to support colleagues in obtaining the proper training to advance their technical capabilities in support of our strategy.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Employees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employ a global workforce that spans across 19 countries. As of March 31, 2023, approximately 80% of our 5,963 global employees were engaged in engineering activities delivering products for our partners to schedule and specification as well as driving innovations in our industry. During the fiscal year ended March 31, 2023, we engaged an average of 1,421 contractors and consultants.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number of our employees for each of the past three financial years: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Function</w:t>
            </w:r>
          </w:p>
        </w:tc>
        <w:tc>
          <w:tcPr>
            <w:tcW w:w="270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1860" w:type="dxa"/>
            <w:vAlign w:val="bottom"/>
            <w:gridSpan w:val="3"/>
          </w:tcPr>
          <w:p>
            <w:pPr>
              <w:ind w:left="840"/>
              <w:spacing w:after="0"/>
              <w:rPr>
                <w:sz w:val="20"/>
                <w:szCs w:val="20"/>
                <w:color w:val="auto"/>
              </w:rPr>
            </w:pPr>
            <w:r>
              <w:rPr>
                <w:rFonts w:ascii="Arial" w:cs="Arial" w:eastAsia="Arial" w:hAnsi="Arial"/>
                <w:sz w:val="14"/>
                <w:szCs w:val="14"/>
                <w:b w:val="1"/>
                <w:bCs w:val="1"/>
                <w:color w:val="auto"/>
              </w:rPr>
              <w:t>March 31, 2021</w:t>
            </w:r>
          </w:p>
        </w:tc>
      </w:tr>
      <w:tr>
        <w:trPr>
          <w:trHeight w:val="203"/>
        </w:trPr>
        <w:tc>
          <w:tcPr>
            <w:tcW w:w="32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Engineering</w:t>
            </w:r>
          </w:p>
        </w:tc>
        <w:tc>
          <w:tcPr>
            <w:tcW w:w="1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4,753</w:t>
            </w: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4,758</w:t>
            </w: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4,712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Non-Engineering</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Geographic Distribution</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United Kingdom</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3,219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3,161</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6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Employees</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6,329</w:t>
            </w:r>
          </w:p>
        </w:tc>
        <w:tc>
          <w:tcPr>
            <w:tcW w:w="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6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consider relations with our employees to be good and have never experienced a work stoppage. Our employees in France and Hungary are represented by works councils. We consider our relationship with these works councils to be productive and constructive, and there are currently no ongoing disputes.</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During the fiscal year ended March 31, 2023, we restructured our business to focus on activities that move our strategy forward while taking a more disciplined approach on our costs and investment activities. To achieve this, we stopped work that was duplicative or no longer critical to our future success. This restructuring resulted in the termination of 436 general and administrative positions across nine countries. Most of these terminations were in the U.K. and the U.S. The restructuring was completed by June 2022.</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There are currently no plans for future restructuring; however, we continue to proactively review our organizational design in relation to our evolving business needs and make ordinary course adjustments, as necessary or appropriate, on an ongoing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Social and Governance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believe in the power of technology to build a better world for everyone, but we understand that technological advancement cannot be achieved at the expense of the environment or our societal well-being. We are committed to maximizing our positive societal impact; minimizing our climate impact; and promoting ethical and responsible business practices and the personal wellbeing of our employees and the communities we impact.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Decarbonizing Compute</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Arm has a long-term ambition to contribute to decarbonizing compute, and we are working towards this goal by first seeking to reduce our own carbon emissions. In September 2020, we committed to achieving net zero carbon by 2030, 20 years ahead of the 2050 target outlined in the United Nations’ Paris Climate Agreement. To achieve this, we are committed to taking a science-aligned approach to cut absolute emissions by 50% (from a 2019 baseline) by 2030 and follow a 1.5° Celsius pathway. We have committed to a 42% reduction in supply-chain carbon, which is supported by our work with the Carbon Disclosure Project (“CDP”) Supply Chain. Through the CDP Supply Chain, we have gathered data to reduce supply chain emissions, and the next step is to work with suppliers to reduce these emissions.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also recognize that our power- and energy-efficient products have a role to play in decarbonizing compute, and our longer-term objective is to explore how we can continue to maximize these initiatives within our ecosystem. We recognize the importance of transparent reporting and produce comprehensive reports that demonstrate our commitment to the issues that are material to our business and stakeholders, for example by reporting against the Global Reporting Initiative Index and to the CDP.</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 the Digital Divide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working to maximize our positive social impact by closing the digital divide between those who have full access to digital technologies and the billions of people who currently do not. We do this with our employees and our ecosystem of social impact partners to find opportunities where we can add value and expertise. Through our Arm Flexible Access and developer programs, we have lowered the barriers to using our products and this has had a positive impact on start-ups and initiatives in the environmental and social space.</w:t>
      </w:r>
    </w:p>
    <w:p>
      <w:pPr>
        <w:spacing w:after="0" w:line="18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Arm Education initiative aims to help close education and skills gaps in Computer Engineering and STEM. As part of the initiative, we provide teaching and learning resources, IP, tools, and other support to universities and work closely with academic and industry partners on research collaborations. Since 2013, we have supported and collaborated with over 2,500 universities worldwide and enabled more than 10,000 Arm-based classes.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Community Engagement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a local level, Team Arm, our employee community engagement program, provides our people with opportunities to volunteer and fundraise for charitable purposes. Everyone at Arm is entitled to time off once per month to engage in volunteer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w:t>
      </w:r>
    </w:p>
    <w:p>
      <w:pPr>
        <w:spacing w:after="0" w:line="117" w:lineRule="exact"/>
        <w:rPr>
          <w:sz w:val="20"/>
          <w:szCs w:val="20"/>
          <w:color w:val="auto"/>
        </w:rPr>
      </w:pPr>
    </w:p>
    <w:p>
      <w:pPr>
        <w:ind w:left="120" w:right="480" w:firstLine="440"/>
        <w:spacing w:after="0" w:line="301" w:lineRule="auto"/>
        <w:rPr>
          <w:sz w:val="20"/>
          <w:szCs w:val="20"/>
          <w:color w:val="auto"/>
        </w:rPr>
      </w:pPr>
      <w:r>
        <w:rPr>
          <w:rFonts w:ascii="Arial" w:cs="Arial" w:eastAsia="Arial" w:hAnsi="Arial"/>
          <w:sz w:val="16"/>
          <w:szCs w:val="16"/>
          <w:color w:val="auto"/>
        </w:rPr>
        <w:t>We strive to be a leader in corporate responsibility and demonstrate our values through responsible business practices. We are guided by governance policies promoting a core moral stance on ethical issues, security and safety. Our Board of Directors is responsible for reviewing our policies, metrics and risks that relate to ESG. Further, our management team maintains a Sustainability Committee that oversees and monitors the implementation of our sustainability programs, and ESG risks are reported through management’s Risk Review Committee.</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intend to continue to examine the sustainability topics that are most relevant for our business and stakeholders as we further develop and advance our sustainability strategy. We have established company policies, including, our Code of Conduct, our Code of Conduct for Suppliers, our Anti-Bribery and Corruption Policy and DEI policies, that support our efforts to operate sustainably by guiding our employees, partners and suppliers in their business dealings and requiring compliance with applicable laws and regulations. These company policies address practices and requirements that we have established with respect to environmental protection, responsible sourcing, human rights, labor standards and ethics, diversity, and compliance, among other topics. We review these policies regularly to ensure that they remain relevant to our organization, our people, our partners and applicable laws and regulation.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global headquarters are located in Cambridge, U.K., occupying approximately 322,950 square feet of leased office space in the aggregate, with the leases expiring between 2023 and 2044. We are currently on a temporary extension of one of the leases for our global headquarters while we negotiate the lease renewal. We also lease additional facilities in Belgium, Denmark, France, Germany, Hungary, India, Ireland, Israel, Japan, South Korea, Norway, Poland, Slovenia, Sweden, Taiwan, the U.K., and the U.S.</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that our current global headquarters and global offices are well maintained and adequate for our current needs and that suitable additional or substitute space at commercially reasonable terms will be available as needed.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subject to regulation by various governmental agencies, including, but not limited to, such agencies in the U.K., the European Union, the U.S., and the PRC. These laws and regulations affect our activities in areas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GDPR, the U.K. GDPR, and the CCPA), security and cybersecurity, and data localization requirements, anti-competition, environmental, health and safety, financial reporting and the certification requirements associated with public sector contracts. We monitor changes in these laws, regulations, treaties, and agreements, and believe that we are in material compliance with applicable laws. See “Risk Factors—Risks Relating to Government Regulation and Legal Compliance” and “Risk Factors—Risks Relating to U.S. and U.K. Tax Regimes.”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In addition,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We are currently involved in pending litigation, including, but not limited to, a lawsuit that we issued against Qualcomm and Nuvia in the United States District Court for the District of Delaware (Case No. 1:22-cv-01146). In addition, our products are involved in pending litigation to which we are not a party. We cannot provide you any assurances regarding how any such litigation will be resolved, what benefits we will obtain or what losses we might incur. The results of any current or future litigation cannot be predicted with certainty, and regardless of the outcome, litigation can have an adverse impact on us because of defense and settlement costs, diversion of management resources and other factors. See “Risk Factors—Risks Relating to Our Business and Industry—We are currently involved in pending litigation” and “Risk Factors—Risks Relating to Our Business and Industry—We may be sued by third parties for alleged infringement, misappropriation or other violation of their IP rights or proprietary rights and our defense against these claims can be costly</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AND EXECUTIVE REMUNERATION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080" w:type="dxa"/>
            <w:vAlign w:val="bottom"/>
          </w:tcPr>
          <w:p>
            <w:pPr>
              <w:ind w:left="222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Masayoshi Son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D. Fisher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Jeffrey A. Sine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E. Dykstra</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Anthony Michael Fadell</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Rosemary Schooler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Paul E. Jacobs, PhD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02"/>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Rene Haas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Child</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Kirsty Gill</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People Officer</w:t>
            </w: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Collins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Legal Officer</w:t>
            </w: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color w:val="auto"/>
              </w:rPr>
              <w:t>Richard Grisenthwaite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Architect</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 Abbey</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Commercial Officer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Masayoshi Son </w:t>
      </w:r>
      <w:r>
        <w:rPr>
          <w:rFonts w:ascii="Arial" w:cs="Arial" w:eastAsia="Arial" w:hAnsi="Arial"/>
          <w:sz w:val="17"/>
          <w:szCs w:val="17"/>
          <w:color w:val="auto"/>
        </w:rPr>
        <w:t>has served as a Director and Chairman of our Board of Directors since March 2018. From September 2016 to March 2018,</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Son served as Chairman of the Board of Directors of Arm Holdings plc. Mr. Son founded SoftBank in September 1981 and has been its Chairman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Chief Executive Officer since February 1986. Founded initially as a PC software distribution business, SoftBank and its portfolio of companies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expanded to cover a range of technologies, including advanced telecommunications, internet services, AI, smart robotics, and IoT. Mr. Son has overseen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investments in some of the world’s fastest-growing technology companies. Mr. Son serves in various capacities within SoftBank’s portfolio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companies, including SoftBank Corp. (Japanese Telecommunication Operator) as its Chairman since 2015 and served as its Chairman and Chief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Officer from 2006 to 2015. Mr. Son has also served as Honorary Chairman of the Broadband Association in Japan.</w:t>
      </w:r>
    </w:p>
    <w:p>
      <w:pPr>
        <w:spacing w:after="0" w:line="211"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Mr. Son was selected to serve on our Board of Directors because of his vast executive leadership experience, including through his service as Chairman and Chief Executive Officer of SoftBank, a large international public company and our controlling shareholder, along with his significant expertise in technology and innovation.</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 xml:space="preserve">Ronald D. Fisher </w:t>
      </w:r>
      <w:r>
        <w:rPr>
          <w:rFonts w:ascii="Arial" w:cs="Arial" w:eastAsia="Arial" w:hAnsi="Arial"/>
          <w:sz w:val="18"/>
          <w:szCs w:val="18"/>
          <w:color w:val="auto"/>
        </w:rPr>
        <w:t>has served as a Director of our Board of Directors since March 2018. Mr. Fisher is a Senior Advisor at SoftBank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Mr. Fisher joined SoftBank in 1995 and was the founder and Managing Partner of SoftBank Capital. Mr. Fisher joined the Board of SoftBank in 1997 and was Vice Chairman from 2017 to 2022. Mr. Fisher has more than 40 years of experience of working with high-growth and turnaround technology companies. Prior to joining SoftBank, Mr. Fisher was the Chief Executive Officer of Phoenix Technologies Ltd., the leading developer and marketer of system software products for personal computers, from 1990 to 1995. Mr. Fisher joined Phoenix from Interactive Systems Corporation, a UNIX</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w:t>
      </w:r>
    </w:p>
    <w:p>
      <w:pPr>
        <w:spacing w:after="0" w:line="184"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Mr. Fisher was selected to serve on our Board of Directors due to his extensive business, operational and management experience in the technology industry.</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Jeffrey A. Sine </w:t>
      </w:r>
      <w:r>
        <w:rPr>
          <w:rFonts w:ascii="Arial" w:cs="Arial" w:eastAsia="Arial" w:hAnsi="Arial"/>
          <w:sz w:val="18"/>
          <w:szCs w:val="18"/>
          <w:color w:val="auto"/>
        </w:rPr>
        <w:t>has served as a Director of our Board of Directors since September 2022. Mr. Sine is the Co-Founder and Partner of The Raine</w:t>
      </w:r>
      <w:r>
        <w:rPr>
          <w:rFonts w:ascii="Arial" w:cs="Arial" w:eastAsia="Arial" w:hAnsi="Arial"/>
          <w:sz w:val="18"/>
          <w:szCs w:val="18"/>
          <w:i w:val="1"/>
          <w:iCs w:val="1"/>
          <w:color w:val="auto"/>
        </w:rPr>
        <w:t xml:space="preserve"> </w:t>
      </w:r>
      <w:r>
        <w:rPr>
          <w:rFonts w:ascii="Arial" w:cs="Arial" w:eastAsia="Arial" w:hAnsi="Arial"/>
          <w:sz w:val="18"/>
          <w:szCs w:val="18"/>
          <w:color w:val="auto"/>
        </w:rPr>
        <w:t>Group LLC, a global merchant bank focused on technology, media, and communications. Prior to founding The Raine Group LLC, he served as Vice Chairman and Global Head of Technology, Media &amp; Telecom Investment Banking at UBS Investment Bank. Mr. Sine was a Managing Director at Morgan Stanley and an attorney at Sullivan &amp; Cromwell in New York and London. Mr. Sine currently serves on the boards of many portfolio companies and subsidiaries of The Raine Group LLC. He also serves on the boards of National Public Radio, ITHAKA, Educational Testing Service, American University and The Manhattan Theatre Club.</w:t>
      </w:r>
    </w:p>
    <w:p>
      <w:pPr>
        <w:spacing w:after="0" w:line="192"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Mr. Sine was selected to serve on our Board of Directors due to his significant experience as a leader and director of multiple global companies with international operations as well as his capital markets and financial experience from his tenure at global financial institutions.</w:t>
      </w:r>
    </w:p>
    <w:p>
      <w:pPr>
        <w:spacing w:after="0" w:line="146"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i w:val="1"/>
          <w:iCs w:val="1"/>
          <w:color w:val="auto"/>
        </w:rPr>
        <w:t xml:space="preserve">Karen E. Dykstra </w:t>
      </w:r>
      <w:r>
        <w:rPr>
          <w:rFonts w:ascii="Arial" w:cs="Arial" w:eastAsia="Arial" w:hAnsi="Arial"/>
          <w:sz w:val="16"/>
          <w:szCs w:val="16"/>
          <w:color w:val="auto"/>
        </w:rPr>
        <w:t>has served as a Director of our Board of Directors since September 2022. Ms. Dykstra is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VMware, Inc., a position she has held since June 2023.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President—Finance, Corporate Controller, and in other capacities. Ms. Dykstra is a director of VMware, Inc. and former director of Crane Co., AOL, Inc. and Boston Properties, Inc.</w:t>
      </w:r>
    </w:p>
    <w:p>
      <w:pPr>
        <w:spacing w:after="0" w:line="166"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Ms. Dykstra was selected to serve on our Board of Directors due to her broad executive management experience and financial expertise as the Chief Financial Officer of multiple global companies and her experience from serving on the board of directors of other companies in the technology industry.</w:t>
      </w:r>
    </w:p>
    <w:p>
      <w:pPr>
        <w:spacing w:after="0" w:line="184"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i w:val="1"/>
          <w:iCs w:val="1"/>
          <w:color w:val="auto"/>
        </w:rPr>
        <w:t xml:space="preserve">Anthony Michael Fadell </w:t>
      </w:r>
      <w:r>
        <w:rPr>
          <w:rFonts w:ascii="Arial" w:cs="Arial" w:eastAsia="Arial" w:hAnsi="Arial"/>
          <w:sz w:val="17"/>
          <w:szCs w:val="17"/>
          <w:color w:val="auto"/>
        </w:rPr>
        <w:t>has served as a Director of our Board of Directors since September 2022. Mr. Fadell is an active investor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entrepreneur with over 30 years of experience in founding companies and designing consumer products. He is the Principal at the Build Collective, an investment and advisory firm that invests in deep tech startups. Currently, the Build Collective is working with startups on over 200 innovative technologies. Mr. Fadell is the founder and former Chief Executive Officer of Nest, a major pioneer in the IoT space. He was Senior Vice President of Apple’s iPod division and led the team that created the first 18 generations of the iPod and the first three generations of the iPhone. Mr. Fadell also served as an Advisor to the Chief Executive Officer at Apple. Throughout his career, Mr. Fadell has authored more than 300 patents. He is also a New York Times bestselling author of </w:t>
      </w:r>
      <w:r>
        <w:rPr>
          <w:rFonts w:ascii="Arial" w:cs="Arial" w:eastAsia="Arial" w:hAnsi="Arial"/>
          <w:sz w:val="17"/>
          <w:szCs w:val="17"/>
          <w:i w:val="1"/>
          <w:iCs w:val="1"/>
          <w:color w:val="auto"/>
        </w:rPr>
        <w:t>BUILD: An Unorthodox Guide to Making Things Worth Making</w:t>
      </w:r>
      <w:r>
        <w:rPr>
          <w:rFonts w:ascii="Arial" w:cs="Arial" w:eastAsia="Arial" w:hAnsi="Arial"/>
          <w:sz w:val="17"/>
          <w:szCs w:val="17"/>
          <w:color w:val="auto"/>
        </w:rPr>
        <w:t>.</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Mr. Fadell was selected to serve on our Board of Directors due to his extensive experience in a range of technology companies as well as his significant leadership experience, including serving as the founder and Chief Executive Officer of a leader in the IoT space, and his in-depth knowledge of the technology industry.</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Rosemary Schooler </w:t>
      </w:r>
      <w:r>
        <w:rPr>
          <w:rFonts w:ascii="Arial" w:cs="Arial" w:eastAsia="Arial" w:hAnsi="Arial"/>
          <w:sz w:val="18"/>
          <w:szCs w:val="18"/>
          <w:color w:val="auto"/>
        </w:rPr>
        <w:t>has served as a Director of our Board of Directors since December 2022. Ms. Schooler has over 30 years of experience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technology industry. She most recently served as Corporate Vice President and General Manager of Data Center and AI Sales for Intel Corporation. During her 33-year career at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Water Solutions. Ms. Schooler earned a B.S. in ceramic science and engineering from Penn State University.</w:t>
      </w:r>
    </w:p>
    <w:p>
      <w:pPr>
        <w:spacing w:after="0" w:line="16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Ms. Schooler was selected to serve on our Board of Directors due to her expansive knowledge of corporate strategy and strategic planning and vast experience as a leader in the technology industry.</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Paul E. Jacobs, PhD </w:t>
      </w:r>
      <w:r>
        <w:rPr>
          <w:rFonts w:ascii="Arial" w:cs="Arial" w:eastAsia="Arial" w:hAnsi="Arial"/>
          <w:sz w:val="17"/>
          <w:szCs w:val="17"/>
          <w:color w:val="auto"/>
        </w:rPr>
        <w:t>has served as a Director of our Board of Directors since December 2022. Dr. Jacobs is the chairman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serves as a director of Dropbox, Inc. and For Inspiration and Recognition of Science and Technology.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w:t>
      </w:r>
    </w:p>
    <w:p>
      <w:pPr>
        <w:spacing w:after="0" w:line="18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Dr. Jacobs was selected to serve on our Board of Directors based on his experience as the leader and board member of multiple global companies, as well as his innovation and business experience with companies in, and his in-depth knowledge of, the technology sector.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 xml:space="preserve">Rene Haas </w:t>
      </w:r>
      <w:r>
        <w:rPr>
          <w:rFonts w:ascii="Arial" w:cs="Arial" w:eastAsia="Arial" w:hAnsi="Arial"/>
          <w:sz w:val="16"/>
          <w:szCs w:val="16"/>
          <w:color w:val="auto"/>
        </w:rPr>
        <w:t>has served as our Chief Executive Officer and a Director since February 2022. Prior to being appointed as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Mr. 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boards of Arm China and SoftBank since December 2016 and June 2023, respectively. Mr. Haas also provides certain consulting services to SoftBank. Mr. Haas joined the Company in October 2013 as Vice President of Strategic Alliances and two years later was appointed to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executive roles at Scintera Networks and Tensilica. Mr. Haas earned his Bachelor of Science in Electrical and Electronics Engineering from Clarkson University and is a graduate of the Stanford University Graduate School of Business Executive Education Program. Mr. Haas was selected to serve on our Board of Directors due to his knowledge of our business as our Chief Executive Officer and his extensive experience in the semiconductor industry.</w:t>
      </w:r>
    </w:p>
    <w:p>
      <w:pPr>
        <w:spacing w:after="0" w:line="17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Jason Child </w:t>
      </w:r>
      <w:r>
        <w:rPr>
          <w:rFonts w:ascii="Arial" w:cs="Arial" w:eastAsia="Arial" w:hAnsi="Arial"/>
          <w:sz w:val="18"/>
          <w:szCs w:val="18"/>
          <w:color w:val="auto"/>
        </w:rPr>
        <w:t>has served as our Executive Vice President and Chief Financial Officer since November 2022. Mr. Child’s career spans 30 years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all aspects of global finance and strategy, accounting, capital markets and treasury, initial public offering execution, and investor relations. He has extensive experience in scaling disruptive technologies within enterprise software and software-as-a-service industries, e-commerce, local commerce, consumer hardware and IoT, and online residential real estate. He most recently served as Senior Vice-President and Chief Financial Officer at Splunk, a technology company specializing in application</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management, security, and compliance, as well as business and web analytics. Mr. Child has also served as Chief Financial Officer for Groupon, Inc., a global e-commerce marketplace, Jawbone, a consumer technology and wearable device company, and Opendoor Technologies Inc, an online real estate company. Prior to those roles, he spent more than 11 years leading various global finance teams at Amazon and served as Chief Financial Officer of Amazon International. Mr. Child has served as a member of the board of directors of Coupang, Inc., an e-commerce company, since April 2022. He holds a B.A. from the Foster School of Business at the University of Washington, where he currently serves on its Global Advisory Board.</w:t>
      </w:r>
    </w:p>
    <w:p>
      <w:pPr>
        <w:spacing w:after="0" w:line="16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Kirsty Gill </w:t>
      </w:r>
      <w:r>
        <w:rPr>
          <w:rFonts w:ascii="Arial" w:cs="Arial" w:eastAsia="Arial" w:hAnsi="Arial"/>
          <w:sz w:val="18"/>
          <w:szCs w:val="18"/>
          <w:color w:val="auto"/>
        </w:rPr>
        <w:t>has served as our Executive Vice President and Chief People Officer since April 2018. Ms. Gill joined the Company in 2002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leadership roles in the People group, including executive compensation, reward, organizational effectiveness, and people services and systems. As Chief People Officer, she is responsible for managing our policies with respect to our employees, our workplace and the sustainability of our business practices. Ms. Gill delivers a unique, progressive, and human working environment, ensuring that our Core Beliefs are reflected in our policies and practices, allowing everyone to thrive and contribute to their full potential. Prior to joining the Company, Ms. Gill was Human Resources Director for a start-up company, GF-X, and started her human resources career at Accenture. Ms. Gill graduated from the University of Cambridge and is a board member of Cambridge Ahead.</w:t>
      </w:r>
    </w:p>
    <w:p>
      <w:pPr>
        <w:spacing w:after="0" w:line="19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 xml:space="preserve">Spencer Collins </w:t>
      </w:r>
      <w:r>
        <w:rPr>
          <w:rFonts w:ascii="Arial" w:cs="Arial" w:eastAsia="Arial" w:hAnsi="Arial"/>
          <w:sz w:val="17"/>
          <w:szCs w:val="17"/>
          <w:color w:val="auto"/>
        </w:rPr>
        <w:t>has served as our Executive Vice President and Chief Legal Officer since September 2022. Prior to his appointment,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General Counsel from February 2022. Mr. Collins has more than 20 years of industry experience and has served as lead counsel on many of the highest-profile M&amp;A and investment transactions in the technology sector. Prior to joining the Company, Mr. Collins was Managing Partner and General Counsel at SoftBank Investment Advisors, the investment manager of SoftBank Vision Fund. Mr. Collins has also served as a partner in the investment team at SoftBank Investment Advisors. Prior to joining SoftBank Investment Advisors, he practiced as a technology-focused M&amp;A and investment lawyer in the London offices of White &amp; Case and Allen &amp; Overy. Mr. Collins also spent time on secondment from Allen &amp; Overy to Fenwick &amp; West. Mr. Collins holds an LL.B. with first class honors.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Richard Grisenthwaite </w:t>
      </w:r>
      <w:r>
        <w:rPr>
          <w:rFonts w:ascii="Arial" w:cs="Arial" w:eastAsia="Arial" w:hAnsi="Arial"/>
          <w:sz w:val="16"/>
          <w:szCs w:val="16"/>
          <w:color w:val="auto"/>
        </w:rPr>
        <w:t>has served as our Executive Vice President and Chief Architect since March 2022. Mr. Grisenthwaite joined Arm in March</w:t>
      </w:r>
      <w:r>
        <w:rPr>
          <w:rFonts w:ascii="Arial" w:cs="Arial" w:eastAsia="Arial" w:hAnsi="Arial"/>
          <w:sz w:val="16"/>
          <w:szCs w:val="16"/>
          <w:i w:val="1"/>
          <w:iCs w:val="1"/>
          <w:color w:val="auto"/>
        </w:rPr>
        <w:t xml:space="preserve"> </w:t>
      </w:r>
      <w:r>
        <w:rPr>
          <w:rFonts w:ascii="Arial" w:cs="Arial" w:eastAsia="Arial" w:hAnsi="Arial"/>
          <w:sz w:val="16"/>
          <w:szCs w:val="16"/>
          <w:color w:val="auto"/>
        </w:rPr>
        <w:t>1997, and is responsible for the long-term evolution of our architecture, leading its development for more than 20 years, beginning with Armv6. He is currently leading development on Armv9 to ensure its specialized processing unlocks new markets and opportunities across the full spectrum of compute. Early in his tenure at the Company, Mr. Grisenthwaite worked on Arm720T, Arm940T, and Arm1136EJF-S. Prior to joining the Company, he worked for Analog Devices on fixed-function digital signal processors and at Inmos/ST on the Transputer. Mr. Grisenthwaite is an Arm fellow, has a B.A. in Electrical and Information Sciences from the University of Cambridge and holds 107 patents in the field of microprocessors.</w:t>
      </w:r>
    </w:p>
    <w:p>
      <w:pPr>
        <w:spacing w:after="0" w:line="16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Will Abbey </w:t>
      </w:r>
      <w:r>
        <w:rPr>
          <w:rFonts w:ascii="Arial" w:cs="Arial" w:eastAsia="Arial" w:hAnsi="Arial"/>
          <w:sz w:val="18"/>
          <w:szCs w:val="18"/>
          <w:color w:val="auto"/>
        </w:rPr>
        <w:t>has served as our Executive Vice President and Chief Commercial Officer since April 2023. Mr. Abbey joined the Company in 2004</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held a number of leadership roles, including Senior Vice President of Sales and Partner Enablement, General Manager of our Physical Design group and Vice President of Commercial Operations for the Physical IP Division. Now, as Executive Vice President and Chief Commercial Officer, Mr. Abbey leads sales, field engineering, and partner enablement at the Company, helping some of the world’s most innovative organizations leverage the newest technologies to ready themselves for the next wave of digital transformation. From IP to AI, his unique insight has helped the world’s technology leaders transform their products and operations. Before joining the Company, he worked in product management positions at Celoxica, Infineon Technologies, and Loughborough Sound Images. Mr. Abbey serves on the board of EnPro Industries and holds a BEng from Sheffield Hallam University, U.K.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are a “foreign private issuer,” as defined by the SEC. As a result, in accordance with SEC and Nasdaq rules, we may, and intend to, rely on and comply with certain home country governance requirements and exemptions thereunder rather than complying with Nasdaq corporate governance standards. While we expect to voluntarily follow most Nasdaq corporate governance rules, we may choose to take advantage of certain exemptions, including, but not limited to, exemptions from:</w:t>
      </w:r>
    </w:p>
    <w:p>
      <w:pPr>
        <w:spacing w:after="0" w:line="92" w:lineRule="exact"/>
        <w:rPr>
          <w:sz w:val="20"/>
          <w:szCs w:val="20"/>
          <w:color w:val="auto"/>
        </w:rPr>
      </w:pPr>
    </w:p>
    <w:p>
      <w:pPr>
        <w:ind w:left="10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Nasdaq rules applicable to domestic issuers requiring disclosure within four business days of any determination to grant a waiver of the Code of Conduct to directors and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requirement to obtain shareholder approval for certain issuances of securities, including shareholder approval of share option plans;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requirement that our audit committee have review and oversight responsibilities over all “related party transactions,” as defined in Item 7.B of Form 20-F;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requirement that there be regularly scheduled meetings of only the independent directors at least twice a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requirement to solicit proxies and provide proxy statements for all meetings of shareholders;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requirement that the Company’s bylaws or articles of association provide that a quorum for the shareholders’ meeting consists of at least 33 1/3% of the outstanding shares of the Company’s voting common shares.</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intend to the practices of England and Wales, our country of incorporation, in lieu of the foregoing requirements. Although we may rely on home country corporate governance practices in lieu of certain of the rules in the Nasdaq Rule 5600 Series and Rule 5250(d), we must comply with Nasdaq’s Notification of Noncompliance requirement (Rule 5625), the Voting Rights requirement (Rule 5640), the Diverse Board Representation Rule (Rule 5605(f)), the Board Diversity Disclosure Rule (Rule 5606) and that we have an audit committee that satisfies Rule 5605(c)(3), consisting of committee members that meet the independence requirements of Rule 5605(c)(2)(A)(ii). Although we are permitted to follow certain corporate governance rules that conform to English requirements in lieu of many of the Nasdaq corporate governance rules, we intend to comply with the Nasdaq corporate governance rules.</w:t>
      </w:r>
    </w:p>
    <w:p>
      <w:pPr>
        <w:spacing w:after="0" w:line="195"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SoftBank is expected to beneficially own approximately % of our outstanding ordinary shares upon the completion of this offering. As a result of SoftBank’s ownership, after the completion of this offering,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As a controlled company, certain exemptions under the rules will mean that we are not required to comply with certain corporate governance requirements, including that (1) a majority of our Board of Directors consists of independent directors, as defined under Nasdaq listing rules, (2) a majority of the independent directors select or recommend its director nominees, (3) the remuneration committee be responsible for determining or recommending the compensation of executive officers other than the chief executive officer, and (4) we have a remuneration committee that consists entirely of independent directors. We intend to take advantage of the foregoing exemptions. Accordingly, you will not have the same protections afforded to shareholders of companies that are subject to all of these corporate governance requirements. In the event that we cease to be a “controlled company” and our ADSs continue to be listed on Nasdaq, we will be required to comply with these</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provisions within the applicable transition periods. See “Risk Factors—Risks Relating to Our Status as a Controlled Company and Foreign Private Issuer—We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currently consists of eight members, all of whom will continue to serve on our Board of Directors upon the completion of this offering. Mr. Son serves as the Chair of our Board of Directors. Our Board of Directors has affirmatively determined that none of Ms. Dykstra, Mr. Fadell, Ms. Schooler and Dr. Jacobs have a relationship that would interfere with the exercise of independent judgment in carrying out the responsibilities of director and that each of these directors is “independent” as that term is defined under Nasdaq rules.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Six of our eight current directors were appointed in 2022 in anticipation of becoming a public company. Prior to the appointment of these new directors, we undertook a fulsome review of the composition of our Board of Directors and the skills and qualifications necessary to lead our company going forward. Our Board of Directors considered diversity of experience and expertise as well as gender, racial and ethnic diversity. We believe that the diversity of view points and collective experience of our directors makes our Board of Directors well positioned to lead Arm into the future.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Our Board of Directors does not have a standing nominating committee. Following the completion of this offering, our entire Board of Directors will be responsible for selecting or approving director nominees. We believe that our Board of Directors can satisfactorily carry out the responsibility of properly selecting or approving director nominees without the formation of a standing nominating committee. We have not formally established any specific, minimum qualifications that must be met or skills that are necessary for directors to possess. In general, in identifying and evaluating nominees for director, our Board of Directors may consider, among other factors, personal and professional integrity, ethics and values, experience in corporate management (such as serving as an officer or former officer of a publicly-held company), experience as a board member of another publicly-held company, professional and academic experience relevant to our industry, diversity of professional experience, experience in finance and accounting and/or executive remuneration practices, strength of leadership skills, ability to devote the time required for preparation, participation and attendance at Board of Directors meetings and committee meetings, professional reputation and independence and conflicts of interest. While we have no formal policy regarding board diversity for our Board of Directors, in addition to the previous factors, our Board of Directors will consider the background, gender, age, race and ethnicity, as well as other individual attributes that contribute to the total diversity of viewpoints and experience represented on the Board of Directors when identifying and evaluating nominees for director. Our Board of Directors will evaluate each individual in the context of the Board of Directors as a whole, with the objective of ensuring that the Board of Directors, as a whole, has the necessary tools to perform its oversight function effectively in light of our business and structure.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2023, our Board of Directors has two standing committees: an audit committee and a remuneration committee.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is responsible for, among other things:</w:t>
      </w:r>
    </w:p>
    <w:p>
      <w:pPr>
        <w:spacing w:after="0" w:line="76" w:lineRule="exact"/>
        <w:rPr>
          <w:sz w:val="20"/>
          <w:szCs w:val="20"/>
          <w:color w:val="auto"/>
        </w:rPr>
      </w:pPr>
    </w:p>
    <w:p>
      <w:pPr>
        <w:ind w:left="10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selecting a qualified firm to serve as (i) the independent registered public accounting firm to audit our financial statements and (ii) the U.K. statutory auditors;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helping to ensure the independence and performance of the independent registered public accounting firm and the U.K. statutory auditors;</w:t>
      </w:r>
    </w:p>
    <w:p>
      <w:pPr>
        <w:spacing w:after="0" w:line="153"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helping to maintain and foster an open avenue of communication between management and the independent registered public accounting firm;</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U.K. statutory auditors, and reviewing, with management, the independent registered public accounting firm and U.K. statutory auditors, our interim and year-end operating results;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our policies and practices on risk assessment and risk management, including in respect of cyber security, data privacy and technology and information security;</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to be performed by the independent registered public accounting firm and U.K. statutory auditors.</w:t>
      </w:r>
    </w:p>
    <w:p>
      <w:pPr>
        <w:spacing w:after="0" w:line="170" w:lineRule="exact"/>
        <w:rPr>
          <w:sz w:val="20"/>
          <w:szCs w:val="20"/>
          <w:color w:val="auto"/>
        </w:rPr>
      </w:pPr>
    </w:p>
    <w:p>
      <w:pPr>
        <w:ind w:left="120" w:right="540" w:firstLine="440"/>
        <w:spacing w:after="0" w:line="258" w:lineRule="auto"/>
        <w:rPr>
          <w:sz w:val="20"/>
          <w:szCs w:val="20"/>
          <w:color w:val="auto"/>
        </w:rPr>
      </w:pPr>
      <w:r>
        <w:rPr>
          <w:rFonts w:ascii="Arial" w:cs="Arial" w:eastAsia="Arial" w:hAnsi="Arial"/>
          <w:sz w:val="18"/>
          <w:szCs w:val="18"/>
          <w:color w:val="auto"/>
        </w:rPr>
        <w:t>Our audit committee consists of , and , with serving as chair. Our Board of Directors has affirmatively determined that , and meet the requirements for independence under current Nasdaq rules and the additional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independence standards applicable to audit committee members established pursuant to Rule 10A-3 of the Exchange Act. In addition, our Board of</w:t>
      </w:r>
    </w:p>
    <w:p>
      <w:pPr>
        <w:spacing w:after="0" w:line="3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Directors has determined that will qualify as an “audit committee financial expert” as defined by applicable SEC rules. Each member of our audit committee is financially literate.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remuneration committee oversees our remuneration policies, plans and benefits programs. Our remuneration committee is responsible for, among other things:</w:t>
      </w:r>
    </w:p>
    <w:p>
      <w:pPr>
        <w:spacing w:after="0" w:line="76"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related to our remuneration plans and equity-based plans;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concerning the overall remuneration philosophy, policies and plans of the Company;</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the performance goals and objectives relevant to the remuneration of our Chief Executive Officer;</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evaluating and making recommendations to our Board of Directors regarding the performance of our Chief Executive Officer under the previously established performance criteria, goals and objectives, and evaluating and making recommendations to our Board of Directors regarding total remuneration for our Chief Executive Officer;</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regarding the remuneration to be paid to our non-executive directors;</w:t>
      </w:r>
    </w:p>
    <w:p>
      <w:pPr>
        <w:spacing w:after="0" w:line="153"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approval of the directors’ remuneration report, which shall be subject to a shareholder advisory vote at the Company’s annual general meeting each year;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selecting and retaining a remuneration consultant;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the remuneration committee by our Board of Directors from time to time.</w:t>
      </w:r>
    </w:p>
    <w:p>
      <w:pPr>
        <w:spacing w:after="0" w:line="225" w:lineRule="exact"/>
        <w:rPr>
          <w:sz w:val="20"/>
          <w:szCs w:val="20"/>
          <w:color w:val="auto"/>
        </w:rPr>
      </w:pPr>
    </w:p>
    <w:p>
      <w:pPr>
        <w:ind w:left="560"/>
        <w:spacing w:after="0"/>
        <w:tabs>
          <w:tab w:leader="none" w:pos="4340" w:val="left"/>
          <w:tab w:leader="none" w:pos="5320" w:val="left"/>
          <w:tab w:leader="none" w:pos="6480" w:val="left"/>
          <w:tab w:leader="none" w:pos="7840" w:val="left"/>
        </w:tabs>
        <w:rPr>
          <w:sz w:val="20"/>
          <w:szCs w:val="20"/>
          <w:color w:val="auto"/>
        </w:rPr>
      </w:pPr>
      <w:r>
        <w:rPr>
          <w:rFonts w:ascii="Arial" w:cs="Arial" w:eastAsia="Arial" w:hAnsi="Arial"/>
          <w:sz w:val="18"/>
          <w:szCs w:val="18"/>
          <w:color w:val="auto"/>
        </w:rPr>
        <w:t>Our remuneration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5"/>
          <w:szCs w:val="15"/>
          <w:color w:val="auto"/>
        </w:rPr>
        <w:t>serving as chair.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maintain a Code of Conduct applicable to our and our subsidiaries’ employees, independent contractors, senior management and directors, including our principal executive officer, principal financial officer, principal accounting officer or controller, or persons performing similar functions. Our Board of Directors will monitor compliance with our Code of Conduct, including reviewing the adequacy and effectiveness of our procedures to ensure proper compliance. Following the effectiveness of the registration statement of which this prospectus is a part, a current copy of the Code of Conduct will be posted on the Investor Relations section of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of Executive Officers and Directors</w:t>
      </w:r>
    </w:p>
    <w:p>
      <w:pPr>
        <w:spacing w:after="0" w:line="12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For the fiscal year ended March 31, 2023, the aggregate remuneration paid to the members of our Board of Directors and our executive officers for services in all capacities, including retirement and similar benefits but excluding Executive Awards (as described below), was $43,136,444. Of that aggregate amount, $17,297,457 was related to remuneration paid to the members of our Board of Directors. For the fiscal year ended March 31, 2023, the highest paid director received remuneration of $16,518,639, excluding the Executive Awards described below.</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do not set aside or accrue any amounts to provide pension, retirement or similar benefits to members of our Board of Directors or executive officers, although we made defined contribution pension contributions on behalf of, and paid pension allowances to, our directors and executive officers in an aggregate amount of $153,874 during the fiscal year ended March 31, 2023.</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During the fiscal year ended March 31, 2023, pursuant to our equity incentive plans described under “—Equity Incentive Plans,” we granted conditional rights to receive a specified amount of cash or our ordinary shares to our executive officers, which we refer to as “Executive Awards,” with outstanding awards in the aggregate amount of $64,769,682. For the fiscal year ended March 31, 2023, our highest paid director did not receive any RSUs and received an Executive Award in the amount of $20,000,000. For more information about awards that vest at the completion of this offering, see “—Awards Vesting at the Completion of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Employment Arrangements and Director Appointment Letters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Officer Employment Agreements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entered into offer letters or employment agreements with our executive officers. Each of our executive officers is employed for an indefinite term unless either we or the executive officer gives prior notice to terminate such employment. We may terminate an executive officer’s employment for cause, at any time, without advance notice or severance (except for accrued remuneration or where required by applicable law). Cause includes, for example, where the executive officer has committed gross misconduct or negligence. We may terminate an executive officer’s employment, for a fair reason and following a fair process, by providing prior written notice varying between 30 days and 12 months depending on the terms of the executive’s agreement or at any time for some executives based in the U.S. In such case of termination by us, we will provide severance payments to the executive officer as expressly required by the applicable law of the jurisdiction where the</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executive officer is based or per the terms contained in their individual agreement, if any. Two U.S. executives are entitled to receive severance if they resign for good reason, their employment is terminated due to death or permanent disability, or if there is a change in control event, as set out in their individual agreements. Good reason includes, for example, a significant diminution in authorities, duties or responsibilities, or a material reduction of the executive’s salary. To resign for good reason, the executive must provide sixty days of notice and a reasonable cure period. An executive officer may terminate their employment at any time with prior written notice, if required, as set out in their individual employment agreement.</w:t>
      </w:r>
    </w:p>
    <w:p>
      <w:pPr>
        <w:spacing w:after="0" w:line="16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Each executive officer has agreed to hold, both during and after the employment agreement is terminated, in strict confidence and not to use, except for our benefit, any confidential information of our company or affiliates or of our customers, suppliers and other business partners. The executive officers have also agreed to disclose to us all inventions, designs and any other IP which they develop during their employment with us and to assist us in obtaining and enforcing patent, copyright and other legal rights for such inventions, designs, and IP. In addition, each of our executive officers has agreed to be bound by post-termination covenants in order to protect our business interests, including restrictions on soliciting our customers and our employees. Two U.S. executives have post-termination non-compete provisions that equal or exceed the duration of their severance benefits.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Non-Executive Director Appointment Letters Prior to the Consummation of this Offering</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entered into letters of appointment with each of our non-executive directors, except for Messrs. Son and Fisher. These letters set forth the terms on which each of our non-executive directors serve on our Board of Directors. Under the letters of appointment, our non-executive directors were entitled to receive (i) remuneration for their services as non-executive directors in accordance with the non-executive director remuneration policy described below and (ii) reimbursement for expenses incurred in connection with the performance of their duties as directors. Continued appointment under the letters was contingent on continued satisfactory performance, re-nomination by the independent directors and approval of the Board of Directors, re-election by the shareholders and any relevant statutory provisions and provisions of the Articles relating to removal of a director. These appointment letters were terminated prior to the consummation of this offering.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Non-Executive Director Remuneration Policy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completion of this offering, our Board of Directors intends to implement a new non-executive director remuneration policy applicable to each of our non-executive directors other than Mr. Son. Under such policy, our non-executive directors will receive an annual retainer of $80,000 in cash and $220,000 in equity awards under our Omnibus Incentive Plan (as defined below). In addition, our non-executive directors, other than Mr. Son, will receive a fee of $5,000 per meeting of the Board of Directors. Members of the audit committee and the remuneration committee will receive $15,000 and $10,000, respectively, in cash annually. The chairs of the audit committee and remuneration committee will receive $30,000 and $20,000, respectively, in cash annually. Non-executive directors do not receive benefits upon removal or resignation from their respective position as directors. We also will reimburse non-executive directors for expenses properly incurred in connection with the performance of his or her duties as a director, including, but not limited to, reasonable travel expenses.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granted equity-based awards to our executive officers and non-executive directors under: (1) the 2022 RSU Plan, (2) the NED Plan, (3)</w:t>
      </w:r>
    </w:p>
    <w:p>
      <w:pPr>
        <w:spacing w:after="0" w:line="46" w:lineRule="exact"/>
        <w:rPr>
          <w:sz w:val="20"/>
          <w:szCs w:val="20"/>
          <w:color w:val="auto"/>
        </w:rPr>
      </w:pPr>
    </w:p>
    <w:p>
      <w:pPr>
        <w:ind w:left="120" w:right="400"/>
        <w:spacing w:after="0" w:line="265" w:lineRule="auto"/>
        <w:rPr>
          <w:sz w:val="20"/>
          <w:szCs w:val="20"/>
          <w:color w:val="auto"/>
        </w:rPr>
      </w:pPr>
      <w:r>
        <w:rPr>
          <w:rFonts w:ascii="Arial" w:cs="Arial" w:eastAsia="Arial" w:hAnsi="Arial"/>
          <w:sz w:val="17"/>
          <w:szCs w:val="17"/>
          <w:color w:val="auto"/>
        </w:rPr>
        <w:t>the 2019 AEP and (4) the 2019 EIP (collectively, the “Prior Plans”). As of , 2023, the total number of ordinary shares subject to outstanding awards granted under the Prior Plans is . We do not plan to grant further awards under the Prior Plans following the completion of this</w:t>
      </w:r>
    </w:p>
    <w:p>
      <w:pPr>
        <w:ind w:left="120" w:right="280"/>
        <w:spacing w:after="0" w:line="302" w:lineRule="auto"/>
        <w:rPr>
          <w:sz w:val="20"/>
          <w:szCs w:val="20"/>
          <w:color w:val="auto"/>
        </w:rPr>
      </w:pPr>
      <w:r>
        <w:rPr>
          <w:rFonts w:ascii="Arial" w:cs="Arial" w:eastAsia="Arial" w:hAnsi="Arial"/>
          <w:sz w:val="16"/>
          <w:szCs w:val="16"/>
          <w:color w:val="auto"/>
        </w:rPr>
        <w:t>offering. Instead, equity-based awards granted at or after the completion of this offering will be under our new omnibus incentive plan. The principal features of the four previously-adopted plans that pertain to outstanding awards held by our executive officers and non-executive directors, and the principal features of our 2023 Omnibus Incentive Plan (the “Omnibus Incentive Plan”), are summarized below. With respect to awards granted</w:t>
      </w:r>
    </w:p>
    <w:p>
      <w:pPr>
        <w:spacing w:after="0" w:line="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under the Prior Plans and the Omnibus Incentive Plan that may be satisfied by transfer or issue of our ordinary shares, the remuneration committee or other plan administrator may also satisfy them by transfer or issue of ADSs instead. Unless otherwise indicated, under this “Equity Incentive Plans” section, references to our ordinary shares shall also include references to ADSs. These summaries are qualified in their entirety by reference to the actual text of the applicable plan, each of which is filed as an exhibit to the registration statement of which this prospectus is a part.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RSU Plan</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2022 RSU Plan was adopted on June 13, 2022 and amended and restated on September 6, 2022. The 2022 RSU Plan allows for the grant of awards to our (and our subsidiaries’) employees and executive directors. The principal features of the 2022 RSU Plan are summarized below.</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2022 RSU Plan is administered by our remuneration committee. Our remuneration committee has the authority to construe and interpret the rules of the 2022 RSU Plan, including any sub-plans or appendices to the 2022 RSU Plan and the terms of awards granted under the 2022 RSU Plan, and to make all other determinations and take all actions deemed necessary or advisable for administering the 2022 RSU Plan.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2022 RSU Plan provides for the grant of RSUs, phantom awards, which are similar to RSUs, except that they may only be settled in cash, and other awards. Only Executive Awards, which are conditional rights to receive a specified amount of cash or our shares, have been awarded to our executive officers under the 2022 RSU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The aggregate nominal amount of shares over which the remuneration committee may grant awards under the 2022 RSU Plan and the NED Plan is limited so that it does not exceed at any time an amount equal to (x) four percent of the aggregate nominal amount of our fully diluted equity share capital </w:t>
      </w:r>
      <w:r>
        <w:rPr>
          <w:rFonts w:ascii="Arial" w:cs="Arial" w:eastAsia="Arial" w:hAnsi="Arial"/>
          <w:sz w:val="18"/>
          <w:szCs w:val="18"/>
          <w:i w:val="1"/>
          <w:iCs w:val="1"/>
          <w:color w:val="auto"/>
        </w:rPr>
        <w:t>less</w:t>
      </w:r>
      <w:r>
        <w:rPr>
          <w:rFonts w:ascii="Arial" w:cs="Arial" w:eastAsia="Arial" w:hAnsi="Arial"/>
          <w:sz w:val="18"/>
          <w:szCs w:val="18"/>
          <w:color w:val="auto"/>
        </w:rPr>
        <w:t xml:space="preserve"> (y) the aggregate of the nominal amount of shares allocated in respect of awards granted under the rules of the 2022 RSU Plan and awards granted under the rules of the NED Plan (excluding any shares allocated in respect of lapsed awards under the 2022 RSU Plan and the NED Plan). Shares that are delivered to recipients upon the vesting of an award under the 2022 RSU Plan may be satisfied through the issue of new ordinary shares or the transfer (including out of treasury) of shares.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Term</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 awards may be granted under the 2022 RSU Plan after the earlier of (i) the tenth anniversary of the date of the adoption of the 2022 RSU Plan, and (ii) the completion of our initial public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Terms of Executive Awards Granted to our Executive Officers under the 2022 RSU Plan</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Executive Awards granted to our executive officers under the 2022 RSU Plan entitle the executive officer to a fixed amount of cash or, after our initial public offering, our ordinary shares. We have generally granted two types of Executive Awards under the 2022 RSU Plan, which we refer to as Annual Awards and One-time Launch Awards. On limited occasions, we have also granted Executive Awards with customized vesting schedules to certain of our executive officers. Annual Awards and One-time Launch Awards could be settled differently depending on whether vesting occurs before or after our initial public offering. The Annual Award typically consists of a portion that is subject only to a time-based vesting schedule and a portion that is subject to a performance-based and time-based vesting schedule. The time-based portion of the Annual Award vests on an annual basis over three years. The performance-based portion vests on an annual basis over three</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years, with each year’s vesting amount being within a range of 0% to 200% of the award value based on whether our annual performance metrics are satisfied. The One-Time Launch Awards vest on an annual basis over three years, with no performance-based vesting conditions. We have also granted Executive Awards with terms that differ from those described above. Generally, these awards provide for all or a portion of the award to vest upon the earliest to occur of our initial public offering, a change in control event and a specified future date, subject to continued employment through the applicable vesting date.</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Before our initial public offering, any portion of the Executive Awards that vest will be settled in cash. Upon and after our initial public offering, any portion of the Executive Awards that vest will be satisfied in our shares based on the closing price per ADS on the date of our initial public offering, subject to the right of our remuneration committee to satisfy all or part of any such vested portion in cash. As with the RSU awards, upon a change of control event, which generally includes the acquisition of more than 50% of the voting power of our shares or the sale of all or substantially all of our assets, a pro rata portion of the unvested Executive Awards will vest.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Generally, unvested awards granted under the 2022 RSU Plan will lapse on the date the executive officer ceases to be an eligible employee or executive director for any reason whatsoever under the 2022 RSU Plan (including, </w:t>
      </w:r>
      <w:r>
        <w:rPr>
          <w:rFonts w:ascii="Arial" w:cs="Arial" w:eastAsia="Arial" w:hAnsi="Arial"/>
          <w:sz w:val="16"/>
          <w:szCs w:val="16"/>
          <w:i w:val="1"/>
          <w:iCs w:val="1"/>
          <w:color w:val="auto"/>
        </w:rPr>
        <w:t>e.g.</w:t>
      </w:r>
      <w:r>
        <w:rPr>
          <w:rFonts w:ascii="Arial" w:cs="Arial" w:eastAsia="Arial" w:hAnsi="Arial"/>
          <w:sz w:val="16"/>
          <w:szCs w:val="16"/>
          <w:color w:val="auto"/>
        </w:rPr>
        <w:t>, in connection with the termination of his or her employment or service as an executive director), except that if the cessation to be an eligible employee or executive director in question is due to ill-health, injury, disability or death, our remuneration committee may vest all or a portion of that participant’s awards. The executive officer will not be treated as ceasing to be an eligible employee or executive director for these purposes upon leaving the employment of a member of our group if, within the following seven days, he or she recommences employment with another member of our group. The awards will also lapse if our remuneration committee determines that part or all of any such unvested awards should lapse in accordance with any malus or clawback policy adopted from time to time.</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Before the record date on which such shares are actually issued or transferred, a participant is not entitled to any voting, dividend or other rights attaching to such shares. After such record date of the issue or transfer of such shares, the shares held by a participant will rank equally in all respects to our other ordinary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Clawback</w:t>
      </w:r>
    </w:p>
    <w:p>
      <w:pPr>
        <w:spacing w:after="0" w:line="117" w:lineRule="exact"/>
        <w:rPr>
          <w:sz w:val="20"/>
          <w:szCs w:val="20"/>
          <w:color w:val="auto"/>
        </w:rPr>
      </w:pPr>
    </w:p>
    <w:p>
      <w:pPr>
        <w:ind w:left="120" w:right="360" w:firstLine="440"/>
        <w:spacing w:after="0" w:line="255" w:lineRule="auto"/>
        <w:rPr>
          <w:sz w:val="20"/>
          <w:szCs w:val="20"/>
          <w:color w:val="auto"/>
        </w:rPr>
      </w:pPr>
      <w:r>
        <w:rPr>
          <w:rFonts w:ascii="Arial" w:cs="Arial" w:eastAsia="Arial" w:hAnsi="Arial"/>
          <w:sz w:val="18"/>
          <w:szCs w:val="18"/>
          <w:color w:val="auto"/>
        </w:rPr>
        <w:t>All awards granted under the 2022 RSU Plan are subject to lapse, forfeiture and/or recoupment under any clawback policy that we may adopt pursuant to the listing standards of any national securities exchange or association on which our securities are listed or as is otherwise required by applicable laws. At this time, we have not adopted a policy regarding the recovery of certain incentive-based remuneration awarded to current and former executive officers in the event of an accounting restatement. In 2023, we intend to adopt a malus and clawback policy consistent with Rule 10D-1 of the Exchange Act, which requires U.S. national securities exchanges to adopt listing standards for the recovery of erroneously awarded remuneration under certain circumstances.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event of a variation of our equity share capital, a demerger or exempt distribution by virtue of section 1075 of the UK Corporation Tax Act 2010 or a special dividend or distribution, our remuneration committee (acting unanimously) may adjust the number and/or class of shares comprised in an award as it considers appropriate.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w:t>
      </w:r>
    </w:p>
    <w:p>
      <w:pPr>
        <w:spacing w:after="0" w:line="117"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6"/>
          <w:szCs w:val="16"/>
          <w:color w:val="auto"/>
        </w:rPr>
        <w:t>Our remuneration committee may amend the 2022 RSU Plan at any time; however, any amendment which would materially disadvantage participants may not be made without prior consent of the majority (assessed by reference to the size of the affected awards) of disadvantaged participants who respond to the request made by our remuneration committee to approve such amendment. Our remuneration committee has the absolute discretion to determine which participants are materially disadvantaged by a proposed amendment.</w:t>
      </w:r>
    </w:p>
    <w:p>
      <w:pPr>
        <w:spacing w:after="0" w:line="9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 and Participant Payments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 participant may not transfer, assign or otherwise dispose of an award or any rights in respect of it. If he or she does, whether voluntarily or involuntarily, then the award immediately lapses. No payment is required from a participant for the grant of an award.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Non-Executive Directors RSU Award Plan</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The NED Plan was adopted on September 6, 2022 and allows for the grant of RSUs and phantom awards to our non-executive directors. The principal features of the NED Plan and awards granted to our non-executive directors are substantially the same as the terms of the 2022 RSU Plan, except that only non-executive directors are eligible to receive awards and the only awards granted to our non-executive directors have been RSUs, which generally have provided for vesting to occur over a one-year period. The NED Plan is administered by our remuneration Committee. The aggregate number of shares over which the our remuneration committee may grant awards under the 2022 RSU Plan and the NED Plan is limited so that it does not exceed at any time an amount equal to (x) four percent of the aggregate nominal amount of our fully diluted equity share capital </w:t>
      </w:r>
      <w:r>
        <w:rPr>
          <w:rFonts w:ascii="Arial" w:cs="Arial" w:eastAsia="Arial" w:hAnsi="Arial"/>
          <w:sz w:val="16"/>
          <w:szCs w:val="16"/>
          <w:i w:val="1"/>
          <w:iCs w:val="1"/>
          <w:color w:val="auto"/>
        </w:rPr>
        <w:t>less</w:t>
      </w:r>
      <w:r>
        <w:rPr>
          <w:rFonts w:ascii="Arial" w:cs="Arial" w:eastAsia="Arial" w:hAnsi="Arial"/>
          <w:sz w:val="16"/>
          <w:szCs w:val="16"/>
          <w:color w:val="auto"/>
        </w:rPr>
        <w:t xml:space="preserve"> (y) the aggregate of the nominal amount of shares allocated in respect of awards granted under the rules of the 2022 RSU Plan and awards granted under the rules of the NED Plan (excluding any shares allocated in respect of lapsed awards under the 2022 RSU Plan and the NED Plan). No awards may be granted under the NED Plan after the earlier of (i) the tenth anniversary of the date of the adoption of the NED Plan, and (ii) our initial public offering.</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RSUs are awards that entitle the holder to a specified number of our ordinary shares, subject to satisfaction of vesting and other conditions. The RSUs granted to our non-executive directors vest in March or May of the year following the year of grant on the basis of the continued service of the director. The number of RSUs awarded to our non-executive directors for the fiscal year ended March 31, 2023 was determined by dividing $220,000 by an estimated per share value, with the award pro-rated for non-executive directors on the Board for less than the full year. In addition, a pro-rata portion of the non-executive directors’ RSUs vest upon the occurrence of a change of control event. In each case, once vested, the RSUs are capable of being settled in shares or cash (or a mix of both), as determined by the our remuneration committee.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Limited All-Employee Plan 2019</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2019 AEP was adopted by our shareholders on December 8, 2019 and amended and restated on each of May 18, 2021 and June 13, 2022, and allows for the grant of awards to our employees and executive directors. The material terms of the 2019 AEP are summarized below.</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2019 AEP is administered by our remuneration committee. Our remuneration committee has the authority to construe and interpret the rules of the 2019 AEP, including any sub-plans or appendices to the 2019 AEP and the terms of awards granted under the 2019 AEP, and to make all other determinations and take all actions deemed necessary or advisable for administering the 2019 AEP.</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aggregate nominal amount of shares over which our remuneration committee may grant awards under the 2019 AEP will be limited so that it does not exceed at any time an amount equal to (x) 2.2 percent of the aggregate nominal amount of our fully diluted equity share capital less (y) the aggregate of the nominal amount of shares allocated in respect of awards granted under the rules of the 2019 AEP (excluding any shares allocated in respect of lapsed awards under the 2019 AEP).</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2019 AEP provides for the grant of RSUs and phantom shares. As of the date of this prospectus, our executive officers have only been granted RSUs pursuant to the 2019 AEP.</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Terms of RSUs Granted to our Executive Officers under the 2019 AEP</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RSUs granted to our executive officers under the 2019 AEP generally vest on a linear scale on the earliest to occur of (1) 180 days following our initial public offering with a listing value between $32 billion and $55 billion and above (with none of the awards vesting when the value is $32 billion or less and all awards vesting when the value is $55 billion or above), (2) the acquisition of more than 50 percent of the voting power of our shares, or sale of the Company or other change in control event with an implied value between $32 billion and $55 billion and above (with none of the awards vesting when the value is $32 billion or less and all awards vesting when the value is $55 billion or above), and (3) March 9, 2026 if the value of our fully diluted share capital on December 31, 2025 is between $55 billion and $75 billion and above (with none of the awards vesting when the value is $55 billion or less and all awards vesting when the value is $75 billion or above).</w:t>
      </w:r>
    </w:p>
    <w:p>
      <w:pPr>
        <w:spacing w:after="0" w:line="17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there is a change of control event following our initial public offering but before the vesting date which is 180 days after the initial public offering, then the awards shall be capable of vesting only on the occurrence of such change of control event, and not the initial public offering, and for the purposes of calculating to what extent (if at all) a participant’s award vests, our remuneration committee must determine the extent to which the relevant vesting hurdle is met or exceeded on both: (i) the initial public offering and (ii) the relevant change of control event, and subject to certain exceptions, use whichever of the two measurements is more favorable to the participant.</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Other terms applicable to the RSUs awarded to our executive officers under the 2019 AEP, including terms relating to termination of employment and forfeiture of the awards, awards being subject to any clawback polices we may adopt, adjustments in the event of changes to capitalization and similar events, plan amendments and transferability of awards, are generally consistent with the terms of the RSUs granted under the 2022 RSU Plan, as described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2019 EIP</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2019 EIP was adopted by our shareholders on December 8, 2019 and amended and restated on September 6, 2022, and allows for the grant of awards to certain of our executive officers or other eligible employees designated by our remuneration committee in its absolute discretion acting unanimously. Only one of our executive officers holds an award under the 2019 EIP. The material terms of the 2019 EIP are substantially similar to the terms of the 2019 AEP described above, except that (1) participation is generally limited to our executive officers, (2) the aggregate number of shares over which our remuneration committee may grant awards under the 2019 EIP is 0.3 percent of the aggregate nominal amount of our fully diluted equity share capital (less the aggregate of the nominal amount of shares allocated in respect of awards granted under the rules of the 2019 EIP, excluding any shares allocated in respect of lapsed awards under the 2019 EIP), and (3) vesting of the executive officer’s RSUs upon the earliest to occur of an initial public offering, sale of the Company or other change in control event and a specified future date is not subject to the value thresholds noted in the discussion of the 2019 AEP.</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Omnibus Incentive Plans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 2023, our Board of Directors adopted and our shareholders approved the Omnibus Incentive Plan, which we intend to use following the completion of this offering for the grant of incentive awards to our employees, including our executive directors, and our non-employees, including our non-employee directors. The Omnibus Incentive Plan will become effective upon the completion of this offering. The principal terms of the Omnibus Incentive Plan are summarized below.</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employees, including executive directors, and employees of our subsidiaries will be eligible to participate in the Omnibus Incentive Plan. Our non-executive directors and consultants, and non-executive directors and consultants of our subsidiaries, are eligible to participate in the Non-Employee Sub-Plan to the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Omnibus Incentive Plan. Persons eligible to receive awards under the Omnibus Incentive Plan (including the Non-Employee Sub-Plan) are together referred to as service providers below. Except as otherwise specified, references below to the Omnibus Incentive Plan include the Non-Employee Sub-Plan.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Omnibus Incentive Plan will be administered by our Board of Directors, our remuneration committee or any other committee composed of members of our Board of Directors that is appointed by our Board of Directors or our remuneration committee to administer the Omnibus Incentive Plan, subject to certain limitations imposed under the Omnibus Incentive Plan, and other applicable laws and stock exchange listing rules. The administrator will have the authority to construe and interpret the Omnibus Incentive Plan and the terms of awards granted under the Omnibus Incentive Plan. Subject to applicable law, the administrator may authorize one or more officers or employees to administer the Omnibus Incentive Plan.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maximum number of ordinary shares that may be issued under the Omnibus Incentive Plan as approved at the time of adoption of the</w:t>
      </w:r>
    </w:p>
    <w:p>
      <w:pPr>
        <w:spacing w:after="0" w:line="35"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color w:val="auto"/>
        </w:rPr>
        <w:t>Omnibus Incentive Plan was equal to the sum of (i) ordinary shares and (ii) an annual increase on April 1 of each year beginning on April 1, 2024 and ending on April 1, 2033, equal to the lesser of (A) % of the aggregate number of ordinary shares outstanding on March 31 of the</w:t>
      </w:r>
    </w:p>
    <w:p>
      <w:pPr>
        <w:ind w:left="120"/>
        <w:spacing w:after="0"/>
        <w:rPr>
          <w:sz w:val="20"/>
          <w:szCs w:val="20"/>
          <w:color w:val="auto"/>
        </w:rPr>
      </w:pPr>
      <w:r>
        <w:rPr>
          <w:rFonts w:ascii="Arial" w:cs="Arial" w:eastAsia="Arial" w:hAnsi="Arial"/>
          <w:sz w:val="16"/>
          <w:szCs w:val="16"/>
          <w:color w:val="auto"/>
        </w:rPr>
        <w:t>immediately preceding calendar year and (B) such smaller number of ordinary shares as determined by our Board of Directors or our remuneration</w:t>
      </w:r>
    </w:p>
    <w:p>
      <w:pPr>
        <w:spacing w:after="0" w:line="32" w:lineRule="exact"/>
        <w:rPr>
          <w:sz w:val="20"/>
          <w:szCs w:val="20"/>
          <w:color w:val="auto"/>
        </w:rPr>
      </w:pPr>
    </w:p>
    <w:p>
      <w:pPr>
        <w:ind w:left="120"/>
        <w:spacing w:after="0"/>
        <w:tabs>
          <w:tab w:leader="none" w:pos="2700" w:val="left"/>
        </w:tabs>
        <w:rPr>
          <w:sz w:val="20"/>
          <w:szCs w:val="20"/>
          <w:color w:val="auto"/>
        </w:rPr>
      </w:pPr>
      <w:r>
        <w:rPr>
          <w:rFonts w:ascii="Arial" w:cs="Arial" w:eastAsia="Arial" w:hAnsi="Arial"/>
          <w:sz w:val="18"/>
          <w:szCs w:val="18"/>
          <w:color w:val="auto"/>
        </w:rPr>
        <w:t>committee. No more than</w:t>
      </w:r>
      <w:r>
        <w:rPr>
          <w:sz w:val="20"/>
          <w:szCs w:val="20"/>
          <w:color w:val="auto"/>
        </w:rPr>
        <w:tab/>
      </w:r>
      <w:r>
        <w:rPr>
          <w:rFonts w:ascii="Arial" w:cs="Arial" w:eastAsia="Arial" w:hAnsi="Arial"/>
          <w:sz w:val="16"/>
          <w:szCs w:val="16"/>
          <w:color w:val="auto"/>
        </w:rPr>
        <w:t>ordinary shares may be issued under the Omnibus Incentive Plan upon the exercise of incentive stock options.</w:t>
      </w:r>
    </w:p>
    <w:p>
      <w:pPr>
        <w:spacing w:after="0" w:line="21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an award under the Omnibus Incentive Plan is exchanged for or settled in cash, forfeited, canceled or expires without the issuance of our ordinary shares, any unused shares underlying the award will be deemed not to have been issued for purposes of determining the maximum number of ordinary shares that may be issued under the Omnibus Incentive Plan. Additionally, shares underlying awards issued by the Company in assumption of, or in substitution or exchange for, awards previously granted by a company acquired by the Company or any of its affiliates or with which the Company or any of its affiliates combines will not be deemed not to have been issued for purposes of determining the maximum number of ordinary shares that may be issued under the Omnibus Incentive Plan. To the extent not prohibited by applicable laws, any ordinary shares underlying an award that are surrendered or withheld in payment of the award’s exercise or purchase price, or in satisfaction of tax withholding obligations with respect to an award, will be deemed not to have been issued for purposes of determining the maximum number of ordinary shares that may be issued under the Omnibus Incentive Plan, unless otherwise determined by the administrator.</w:t>
      </w:r>
    </w:p>
    <w:p>
      <w:pPr>
        <w:spacing w:after="0" w:line="181"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Awards may be settled in ordinary shares or ADSs. References in this summary to ordinary shares include references to our ADSs. Ordinary shares issued under the Omnibus Incentive Plan may be new shares, shares purchased on the open market or treasury shares.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types of awards granted under the Omnibus Incentive Plan will be determined by the administrator, but may include awards of share options, share appreciation rights (“SARs”), restricted shares, RSUs, other awards of cash, shares or other property (which may include a specified cash amount that is payable in cash or shares, or awards tied to the appreciation in the value of shares), dividends and dividend equivalents. Vesting conditions applicable to awards may be based on continued service, achievement of company, business unit or other performance objectives, or such other criteria as our remuneration committee may establish.</w:t>
      </w:r>
    </w:p>
    <w:p>
      <w:pPr>
        <w:spacing w:after="0" w:line="93" w:lineRule="exact"/>
        <w:rPr>
          <w:sz w:val="20"/>
          <w:szCs w:val="20"/>
          <w:color w:val="auto"/>
        </w:rPr>
      </w:pPr>
    </w:p>
    <w:p>
      <w:pPr>
        <w:jc w:val="both"/>
        <w:ind w:left="1080" w:right="160" w:hanging="424"/>
        <w:spacing w:after="0" w:line="31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Options and SARs</w:t>
      </w:r>
      <w:r>
        <w:rPr>
          <w:rFonts w:ascii="Arial" w:cs="Arial" w:eastAsia="Arial" w:hAnsi="Arial"/>
          <w:sz w:val="16"/>
          <w:szCs w:val="16"/>
          <w:color w:val="auto"/>
        </w:rPr>
        <w:t>. Options provide for the purchase of our ordinary shares in the future at an exercise price set at a specified price and</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become exercisable in one or more installments after the grant date, subject to the participant’s continued employment or service with us and/or subject to the satisfaction of performance targets established by the administrator. SARs entitle their holder, upon</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100"/>
        <w:spacing w:after="0" w:line="272" w:lineRule="auto"/>
        <w:rPr>
          <w:sz w:val="20"/>
          <w:szCs w:val="20"/>
          <w:color w:val="auto"/>
        </w:rPr>
      </w:pPr>
      <w:r>
        <w:rPr>
          <w:rFonts w:ascii="Arial" w:cs="Arial" w:eastAsia="Arial" w:hAnsi="Arial"/>
          <w:sz w:val="17"/>
          <w:szCs w:val="17"/>
          <w:color w:val="auto"/>
        </w:rPr>
        <w:t>exercise, to receive from us an amount equal to the appreciation of the shares underlying the award between the grant date and the exercise date, payable either in ordinary shares, cash or a combination of the two, as determined by the administrator. The administrator will determine the number of shares underlying each option and SAR, the exercise or base price of each option and SAR and the conditions and limitations applicable to the exercise of each option and SAR. In general, the exercise price per share for each option or SAR granted under the Omnibus Incentive Plan will not be less than the nominal value of such share and for grantees who are subject to tax in the U.S. not less than the fair market value of such share at the time of grant and the maximum term of an option or SAR granted under the Omnibus Incentive Plan will be 10 years from the date of grant.</w:t>
      </w:r>
    </w:p>
    <w:p>
      <w:pPr>
        <w:spacing w:after="0" w:line="83" w:lineRule="exact"/>
        <w:rPr>
          <w:sz w:val="20"/>
          <w:szCs w:val="20"/>
          <w:color w:val="auto"/>
        </w:rPr>
      </w:pPr>
    </w:p>
    <w:p>
      <w:pPr>
        <w:ind w:left="1080" w:right="200" w:hanging="424"/>
        <w:spacing w:after="0" w:line="254"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Restricted Shares and RSUs</w:t>
      </w:r>
      <w:r>
        <w:rPr>
          <w:rFonts w:ascii="Arial" w:cs="Arial" w:eastAsia="Arial" w:hAnsi="Arial"/>
          <w:sz w:val="18"/>
          <w:szCs w:val="18"/>
          <w:color w:val="auto"/>
        </w:rPr>
        <w:t>. Restricted shares are an award of non-transferable ordinary shares that remain forfeitable unless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conditions are met and which may be subject to a purchase price. RSUs are contractual promises for grantees to receive our ordinary shares (or, as determined by the administrator, the cash equivalent) in the future, which may also be subject to vesting, issuance and forfeiture conditions. The administrator may provide that the delivery of the shares underlying RSUs will occur upon or as soon as reasonably practicable after the RSUs vest or will be deferred on a mandatory basis or at the election of the grantee. The terms and conditions applicable to restricted shares and RSUs will be determined by the administrator, subject to the conditions and limitations contained in the Omnibus Incentive Plan.</w:t>
      </w:r>
    </w:p>
    <w:p>
      <w:pPr>
        <w:spacing w:after="0" w:line="100" w:lineRule="exact"/>
        <w:rPr>
          <w:rFonts w:ascii="Arial" w:cs="Arial" w:eastAsia="Arial" w:hAnsi="Arial"/>
          <w:sz w:val="18"/>
          <w:szCs w:val="18"/>
          <w:color w:val="auto"/>
        </w:rPr>
      </w:pPr>
    </w:p>
    <w:p>
      <w:pPr>
        <w:ind w:left="1080" w:right="60" w:hanging="424"/>
        <w:spacing w:after="0" w:line="289"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Other Awards; Dividends and Dividend Equivalents</w:t>
      </w:r>
      <w:r>
        <w:rPr>
          <w:rFonts w:ascii="Arial" w:cs="Arial" w:eastAsia="Arial" w:hAnsi="Arial"/>
          <w:sz w:val="16"/>
          <w:szCs w:val="16"/>
          <w:color w:val="auto"/>
        </w:rPr>
        <w:t>. Other awards may include awards of fully vested ordinary shares, cash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and other awards valued wholly or partially by referring to, or otherwise based on, our ordinary shares or other property. Other awards may be granted to grantees and may also be available as a payment form in the settlement of other awards, as standalone payments and as payment in lieu of compensation to which a participant is otherwise entitled. The administrator will determine the terms and conditions of other awards, which may include any purchase price, performance goal, transfer restrictions and vesting conditions. Awards of restricted shares may also entitle the participant to receive dividends paid on the ordinary shares underlying the awards, and RSUs and other stock-based awards (other than options and SARs) may entitle the participant to receive dividend equivalents, which are notional entitlements representing the dividends that would have been paid had the ordinary shares underlying the award been outstanding. Dividends and dividend equivalents may be subject to the same vesting conditions as the awards to which they relate.</w:t>
      </w:r>
    </w:p>
    <w:p>
      <w:pPr>
        <w:spacing w:after="0" w:line="16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Awards may be granted in consideration of past or future services. The administrator may, but need not, require the payment of consideration by the participant with respect to an award. To the extent permitted by applicable law, the administrator may authorize the deferral of the settlement of awards.</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To the extent terms of the Omnibus Incentive Plan do not address local laws in non-U.S. jurisdictions, we anticipate that provisions specific to such non-U.S. jurisdictions in which awards are granted will be addressed in the award agreement “riders,” which will set forth or modify otherwise applicable terms as needed to comply with local laws, including, as applicable, tax laws, securities laws, employment laws, data privacy requirements and exchange controls.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Prior to the issuance of ordinary shares with respect to an award granted under the Omnibus Incentive Plan, participants generally will not be allowed to transfer awards. However, awards may be transferred by will or by the laws of descent and distribution.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 of Plan; Amendment and Termination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Omnibus Incentive Plan will have a 10-year term; however, the administrator may amend, suspend or terminate the Omnibus Incentive Plan and award agreements at any time. Generally, if the administrator proposes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any amendment, suspension or termination that would be to the material disadvantage of any grantees in respect of subsisting rights under the Omnibus Incentive Plan or the relevant award agreement, then: (i) the administrator must invite each such disadvantaged grantee to indicate whether or not they approve the amendment, and (ii) such amendment shall only take effect if the majority (assessed by reference to the size of affected awards) of the grantees who respond to an invitation consent to the amendment.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the event of a change in control, unless otherwise specified by the administrator or specified in an individual agreement with the participant, awards generally will only accelerate to the extent they are not substituted or assumed by the acquiring entity or if the awards are substituted or assumed by the acquiring entity and the participant’s service is terminated under specified circumstances within a specified period following the change in control. In the event the awards are not assumed or substituted by the acquiring or surviving entity in a change in control, except as otherwise determined by the administrator or provided in an award agreement, employment or similar agreement in the definitive change in control transaction agreement, time-based awards will become vested on a pro-rata basis as of the date of the change in control, and all or a portion of performance-based awards may vest, but only to the extent (if at all) determined by the administrator. The administrator may also elect to terminate an award in exchange for cash.</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 for Certain Corporate Events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of a stock dividend, stock split or other non-reciprocal transaction that affects share values, the type and the number of ordinary shares, ADSs or other securities subject to the Omnibus Incentive Plan and outstanding awards, and the exercise or base price of outstanding awards will be equitably adjusted as appropriate to reflect the transaction. Additionally, in the event of a reorganization, amalgamation, dissolution, sale of assets or shares or other corporate transactions, the administrator may take a variety of actions with respect to outstanding awards, including canceling awards in exchange for cash or other property, accelerating the vesting of awards, causing awards to be terminated or replaced with other rights or property or providing for the substitution or assumption of outstanding awards in a manner intended to preserve the intended economic and other benefits of the plans and outstanding awards.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Non-U.S. and Non-U.K. Participants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remuneration committee may modify awards granted to participants who are non-U.S. or U.K. nationals or employed outside the U.S. and the U.K. or establish sub-plans or procedures to address differences in laws, rules, regulations or customs of such international jurisdictions with respect to tax, securities, currency, employee benefit or other matters or to enable awards to be granted in compliance with a tax favorable regime that may be available in any jurisdiction.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Non-Employee Sub-Plan</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Non-Employee Sub-Plan governs equity awards granted to our non-executive directors, consultants, advisers and other non-employee service providers and generally provides for awards to be made on identical terms to awards made under the Omnibus Incentive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Trust</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We may establish an employee benefit trust (the “EBT”) which would be constituted by a trust deed entered into by the Company and a professional trustee.</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Company would have the power to appoint and remove the trustee. The trustee of the EBT would have the power to acquire ordinary shares or ADSs. We could fund the EBT by loan or non-repayable grant or gift to acquire ordinary shares or ADSs by subscription for newly issued shares at nominal value or by purchasing</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ordinary shares or ADSs on the open market. Any ordinary shares or ADSs acquired by the EBT could be used for the purposes of satisfying awards under the Omnibus Incentive Plan, the 2022 RSU Plan, the 2019 AEP, the 2019 EIP and any other employee share plans established by our group from time to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Arm Annual Bonus Plan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granted cash awards to our executive officers under the Arm Annual Bonus Plan (the “Annual Bonus Plan”). The principal features of this cash plan are summarized below. This summary is qualified in its entirety by reference to the actual text of the Annual Bonus Plan, which is filed as an exhibit to the registration statement of which this prospectus is a part.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our executive officers, the Annual Bonus Plan is administered by our remuneration committee.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(and our subsidiaries’) employees (which include our executive officers) are eligible to participate in the Annual Bonus Plan.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Start of Plan Period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start of each plan period (which runs from April 1 of a year to March 31 of the following year), our remuneration committee determines:</w:t>
      </w:r>
    </w:p>
    <w:p>
      <w:pPr>
        <w:spacing w:after="0" w:line="46" w:lineRule="exact"/>
        <w:rPr>
          <w:sz w:val="20"/>
          <w:szCs w:val="20"/>
          <w:color w:val="auto"/>
        </w:rPr>
      </w:pPr>
    </w:p>
    <w:p>
      <w:pPr>
        <w:ind w:left="120" w:hanging="4"/>
        <w:spacing w:after="0" w:line="292"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whether the Annual Bonus Plan will be operated in respect of that plan period, (ii) which eligible executive officers may participate in the Annual Bonus Plan, (iii) each participant’s target percentage of the actual base salary which may be payable as the bonus award (the “Target Bonus Percentage”) for such plan period; and (iv) the performance conditions for such plan period. With respect to the fiscal year ended March 31, 2023, the target bonus opportunity of our executive officers was in the range from 100% to 125% of their base salary levels. The maximum bonus award that can be earned is 200% of the target bonus award (based on the Target Bonus Percentage of the participant’s salary) plus any individual performance multiplier.</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 Conditions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remuneration committee sets performance conditions for each plan period for the whole Company, one or more divisions or business units of the Arm group (or any subdivision thereof), and/or individual participants, as appropriate, and may in its sole discretion amend or waive the performance conditions in whole or in part (a) in accordance with the terms specified in the performance conditions, or (b) if events happen which cause our remuneration committee to consider that (i) the amended performance conditions would be a fairer measure of performance and would be no more difficult to satisfy than the existing performance conditions, or (ii) the existing performance conditions should be waived in whole or in part. Our remuneration committee may withhold, reduce or cancel all or any part of the bonus award for any participant in the event that our remuneration committee considers that such participant’s performance or conduct during the plan period warrants such action.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respect to the fiscal year ended March 31, 2023, the performance conditions were based on the revenue and profit (EBITDA) of our group.</w:t>
      </w:r>
    </w:p>
    <w:p>
      <w:pPr>
        <w:spacing w:after="0" w:line="24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With respect to the fiscal year ended March 31, 2023, a participant’s actual bonus percentage was affected by (i) the Company performance multiplier (the maximum of which was 100%), and (ii) such participant’s individual performance multiplier, based on such participant’s overall ratings assigned in his or her 2023 annual review. The maximum bonus award a participant could receive for the fiscal year ended March 31, 2023 was 125% of the Target Bonus Percentage of his or her actual base salary (100% attributed to our performance, multiplied by 1.25 for an “Exceptional” rating).</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Hires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 person who becomes an eligible executive officer during the course of a plan period and who our remuneration committee determines shall become a participant will be eligible to receive a pro-rated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Annual Bonus Plan.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Performance Conditions and Targets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remuneration committee, in its sole discretion and at any time within a plan period, may evaluate performance conditions and make changes to a participant’s defined targets. In such case, such participant’s bonus award shall be calculated based on our remuneration committee’s evaluation, in its sole discretion, of what such participant’s full-year bonus award entitlement would have been under the original performance conditions and what such participant’s full-year bonus award entitlement would be under the new performance conditions. Following this, our remuneration committee shall make an adjustment to such bonus award based on each of the two entitlements.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of Employment</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Generally, a participant must be continuously employed by a member of our group through the end of the applicable plan period in order to receive a bonus award for such plan period. If a participant ceases to be an eligible executive officer prior to the end of such plan period for any reason, such participant shall immediately forfeit upon termination any and all entitlement to any portion of the bonus award for such plan period.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In the event of a change of control event during a plan period, the plan period will end and each participant will receive a bonus award payment, payable as soon as administratively practicable following such change of control event, calculated by determining what such participant’s full-year bonus award entitlement would have been based on deemed maximum achievement of the applicable performance conditions through the date of the consummation of such change of control event and then making a pro-rata adjustment to such entitlement based on the portion of such plan period occurring before the date on which such change of control event is consummated.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Subject to applicable law, our Board of Directors or Executive Committee (or another duly authorized committee) may (i) delete, alter or add to any of the provisions of the Annual Bonus Plan in any respect at any time unilaterally and without the consent of any participant, or (ii) terminate the Annual Bonus Plan at any time. If the Annual Bonus Plan is terminated during a plan period, such termination will not affect the operation of the Annual Bonus Plan for the rest of such plan period and bonus awards may be determined and paid pursuant to the rules of the Annual Bonus Plan.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 Vesting at the Completion of this Offering</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have granted Executive Awards and RSUs with customized vesting schedules to certain of our executive officers, which will begin vesting upon the completion of this offering. Executive Awards will be settled in a number of ordinary shares based on the initial public offering price per ADS. In particular, (i) an Executive Award with a value of $20 million that was granted to our Chief Executive Officer will vest in its entirety upon</w:t>
      </w:r>
    </w:p>
    <w:p>
      <w:pPr>
        <w:spacing w:after="0" w:line="2"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consummation of this Offering and be settled by the delivery of ordinary shares, assuming an initial public offering price of $ per ADS, which is the midpoint of the price range set forth on the cover page of this</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prospectus, subject to a 12-month holding period, and (ii) Executive Awards with an aggregate value of $35 million that were granted to two executive officers will, upon the completion of this offering, vest in installments over 36 months based on the particular executive officer’s vesting schedule and</w:t>
      </w:r>
    </w:p>
    <w:p>
      <w:pPr>
        <w:ind w:left="120" w:right="100"/>
        <w:spacing w:after="0" w:line="273" w:lineRule="auto"/>
        <w:rPr>
          <w:sz w:val="20"/>
          <w:szCs w:val="20"/>
          <w:color w:val="auto"/>
        </w:rPr>
      </w:pPr>
      <w:r>
        <w:rPr>
          <w:rFonts w:ascii="Arial" w:cs="Arial" w:eastAsia="Arial" w:hAnsi="Arial"/>
          <w:sz w:val="17"/>
          <w:szCs w:val="17"/>
          <w:color w:val="auto"/>
        </w:rPr>
        <w:t>be settled by the delivery of ordinary shares, assuming an initial public offering price of $ per ADS, which is the midpoint of the price range set forth on the cover page of this prospectus, upon the completion of this offering. Assuming an initial public offering price of $ per ADS, which is the midpoint of the price range set forth on the cover page of this prospectus, our executive officers will receive an aggregate of shares upon the completion of this offering, subject in each case to the award’s vesting schedule and the terms of the award certificate.</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we granted a special cash award in the amount of $20 million to our Chief Executive Officer, which will vest upon the completion of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the extent permitted by the Companies Act,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 prior to the completion of this offering. In addition to such indemnification, we provide our directors and executive officers with directors’ and officers’ liability insurance.</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In addition to the director, director nominee and executive officer remuneration and indemnification arrangements discussed above in the section titled “Management and Executive Remuneration,” this section describes transactions or loans, since April 1, 2020, between us and (a) enterprises that directly or indirectly through one or more intermediaries, control or are controlled by, or are under common control with, our company; (b) associates;</w:t>
      </w:r>
    </w:p>
    <w:p>
      <w:pPr>
        <w:spacing w:after="0" w:line="2" w:lineRule="exact"/>
        <w:rPr>
          <w:sz w:val="20"/>
          <w:szCs w:val="20"/>
          <w:color w:val="auto"/>
        </w:rPr>
      </w:pPr>
    </w:p>
    <w:p>
      <w:pPr>
        <w:ind w:left="120" w:hanging="4"/>
        <w:spacing w:after="0" w:line="271" w:lineRule="auto"/>
        <w:tabs>
          <w:tab w:leader="none" w:pos="3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SoftBank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Non-Recourse Facility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March 2022, certain subsidiaries of SoftBank entered into a non-recourse term loan facility (the “SoftBank Non-Recourse Facility”), which was amended and upsized in June 2022, which is a non-recourse term loan facility with certain lenders pursuant to which a subsidiary of SoftBank borrowed $8.5 billion, all of which remains outstanding as of the date of this prospectus. A subsidiary of SoftBank has pledged 769,029,000 of our ordinary shares, representing approximately 75.01% of our total issued and outstanding share capital as of the date of this prospectus, as security for the SoftBank Non-Recourse Facility.</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connection with the SoftBank Non-Recourse Facility, in March 2022, we entered into a Springing Guarantee and Indemnity with J.P. Morgan SE, as facility agent, pursuant to which we agreed to, upon the occurrence of certain triggering events, provide a guarantee to the lenders for amounts borrowed under the SoftBank Non-Recourse Facility. SoftBank has informed us that (i) it intends to repay or refinance the term loan facility prior to, or substantially concurrently with, the completion of this offering, and (ii) at the time of such repayment or refinancing, that our springing guarantee and indemnity will be terminated. The repayment or refinancing of the term loan facility and the release of our obligations thereunder is a condition to the closing of this offering.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Vision Fund Non-Recourse Facility</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June 24, 2022, certain subsidiaries of SoftBank Vision Fund, a subsidiary of SoftBank, entered into a non-recourse term loan facility (the “SoftBank Vision Fund Non-Recourse Facility”) with certain lenders pursuant to which the borrowers could borrow up to $7.5 billion. An affiliate of SoftBank Vision Fund had pledged 256,205,000 of our ordinary shares, representing approximately 24.99% of our total issued and outstanding share capital, as security for the SoftBank Vision Fund Non-Recourse Facility, in addition to certain other portfolio assets of SoftBank Vision Fund that were pledged as security.</w:t>
      </w:r>
    </w:p>
    <w:p>
      <w:pPr>
        <w:spacing w:after="0" w:line="18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connection with the SoftBank Vision Fund Non-Recourse Facility, in June 2022, we entered into certain customary undertakings with Mizuho Bank, Ltd, as Facility Agent. The SoftBank Vision Fund Non-Recourse Facility imposes no material obligations on us and is not reasonably likely to have a material effect on our results of operations or financial condition. Our only obligation with respect to the SoftBank Vision Fund Non-Recourse Facility is an undertaking not to interfere with the exercise of the creditors’ rights with respect to the shares pledged by SoftBank Vision Fund.</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Transactions with SoftBank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Following a strategic decision in 2021 to place greater focus on our core technology licensing business, we decided to distribute or sell certain components of our IoT business to subsidiaries of SoftBank. In June 2021, we distributed all of the equity interests in Treasure Data to our shareholders, and in November 2021, we sold IoTP to subsidiaries of SoftBank. Treasure Data’s and IoTP’s net assets upon distribution and sale were approximately $44 million and $12 million, respectively.</w:t>
      </w:r>
    </w:p>
    <w:p>
      <w:pPr>
        <w:spacing w:after="0" w:line="18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Prior to the distribution of Treasure Data, a member of SoftBank made a $50 million loan to Treasure Data. This loan accrued interest at a rate of 2.0% per annum. The loan balance, including accrued interest, was included in the distribution of Treasure Data to Arm Limited’s shareholders.</w:t>
      </w:r>
    </w:p>
    <w:p>
      <w:pPr>
        <w:spacing w:after="0" w:line="12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June 2023, we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we and the subsidiary of SoftBank Vision Fund each invested $10 million in exchange for preference shares of Kigen. The preference shares are convertible into common shares of Kigen and are entitled to full dividend, distribution and voting rights. The preference shares have 1x non-participating liquidation preference. The preference shares are freely transferable other than to competitors of Kigen. Following the consummation of the subscription, we and the subsidiary of SoftBank Vision Fund owned approximately 12% and 76% of the fully diluted shares outstanding, respectively. Kigen is engaged in the business of physical sim, eSim and iSim authentication. We executed this investment due to the potential of Kigen’s product lines to complement our IoT strategy.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Jeffrey A. Sine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Mr. Sine is a Co-Founder and Partner of The Raine Group LLC. In connection with this offering, Raine Securities LLC has performed certain</w:t>
      </w:r>
    </w:p>
    <w:p>
      <w:pPr>
        <w:spacing w:after="0" w:line="35" w:lineRule="exact"/>
        <w:rPr>
          <w:sz w:val="20"/>
          <w:szCs w:val="20"/>
          <w:color w:val="auto"/>
        </w:rPr>
      </w:pPr>
    </w:p>
    <w:p>
      <w:pPr>
        <w:ind w:left="120"/>
        <w:spacing w:after="0"/>
        <w:tabs>
          <w:tab w:leader="none" w:pos="8400" w:val="left"/>
        </w:tabs>
        <w:rPr>
          <w:sz w:val="20"/>
          <w:szCs w:val="20"/>
          <w:color w:val="auto"/>
        </w:rPr>
      </w:pPr>
      <w:r>
        <w:rPr>
          <w:rFonts w:ascii="Arial" w:cs="Arial" w:eastAsia="Arial" w:hAnsi="Arial"/>
          <w:sz w:val="18"/>
          <w:szCs w:val="18"/>
          <w:color w:val="auto"/>
        </w:rPr>
        <w:t>initial public offering advisory services on our behalf, for which it is expected to receive a fee equal to</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Furthermore, Mr. Sine, The Raine Group LLC and its affiliated entities engage in transactions with SoftBank, SoftBank Vision Fund, and their respective management and affiliates. Certain of these transactions have involved SoftBank’s investment in us. Other such transactions include a broad range of advisory services performed on behalf of SoftBank and its affiliates. In addition, SoftBank retains an indirect minority ownership stake in The Raine Group LLC and is an investor in certain investment funds managed by Raine Capital LLC, a subsidiary of The Raine Group LLC.</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Associates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On March 28, 2022, we sold our entire equity interest in Arm China to another subsidiary of SoftBank, Acetone Limited, for consideration of approximately $930 million. The consideration was exchanged for a promissory note equal to 90% of the consideration and shares in Acetone Limited equal to the remaining 10% of the consideration. On the same date, the promissory note receivable was distributed to our shareholders. Following the distribution and in satisfaction of the balance of the consideration left outstanding, Acetone Limited issued new shares to Arm Limited such that the obligation of Acetone Limited in respect of the payment of the consideration left outstanding was satisfied fully and extinguished.</w:t>
      </w:r>
    </w:p>
    <w:p>
      <w:pPr>
        <w:spacing w:after="0" w:line="16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As of the date of this prospectus, approximately 48% of the equity interest in Arm China is owned by Acetone Limited, which is controlled by SoftBank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are party to the IPLA with Arm China, under which Arm China licenses certain of our IP from us that Arm China in turn sublicenses to its PRC customers. Prior to the entry into this arrangement, Arm China’s results were consolidated in our financial statements; however, as a result of the transaction described above, Arm China’s results will no longer be consolidated in our financial statements. Under the IPLA with Arm China, Arm China’s payments due to us are determined based on the financial information that Arm China provides to us.</w:t>
      </w:r>
    </w:p>
    <w:p>
      <w:pPr>
        <w:spacing w:after="0" w:line="17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the fiscal years ended March 31, 2023, 2022 and 2021, revenues attributable to our relationship with Arm China were approximately 24%, 18% and 20% of our total revenue, respectively.</w:t>
      </w:r>
    </w:p>
    <w:p>
      <w:pPr>
        <w:spacing w:after="0" w:line="17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addition, under the IPLA with Arm China,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control the operations of Arm China, which operates independently of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the ordinary course, Arm entities enter into transactions with counterparties affiliated with the Company’s indirect shareholders on an arms’ length basis, including SoftBank Corp. and its affiliates.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Prior to the completion of this offering, we expect to adopt a related party transaction policy. Our related party transaction policy will set forth our procedures for the identification, review, consideration and approval or ratification of related party transactions. The policy will become effective in connection with this offering. For purposes of our policy only, a related party transaction is any transaction, arrangement or relationship or series of similar transactions, arrangements or relationships (including any indebtedness or guarantee of indebtedness) between us or any of our parent or subsidiaries and any related party. Transactions involving compensation for services provided to us as an employee or director are not covered by this policy.</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the related party transaction must be approved or ratified by our Board of Directors. In reviewing any such transaction, our Board of Directors will consider, among other things, the material facts, the interests, direct and indirect, of the related parties,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shareholder to enable us to identify any existing or potential related party transactions and to effectuate the terms of the policy. In addition, under our Code of Conduct, our employees and directors have an affirmative responsibility to disclose any material transaction or relationship that may give rise to a conflict of interest.</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10340" w:type="dxa"/>
            <w:vAlign w:val="bottom"/>
            <w:gridSpan w:val="3"/>
          </w:tcPr>
          <w:p>
            <w:pPr>
              <w:jc w:val="center"/>
              <w:ind w:right="8890"/>
              <w:spacing w:after="0"/>
              <w:rPr>
                <w:sz w:val="20"/>
                <w:szCs w:val="20"/>
                <w:color w:val="auto"/>
              </w:rPr>
            </w:pPr>
            <w:r>
              <w:rPr>
                <w:rFonts w:ascii="Arial" w:cs="Arial" w:eastAsia="Arial" w:hAnsi="Arial"/>
                <w:sz w:val="18"/>
                <w:szCs w:val="18"/>
                <w:b w:val="1"/>
                <w:bCs w:val="1"/>
                <w:color w:val="0000EE"/>
                <w:w w:val="89"/>
              </w:rPr>
              <w:t>Table of Contents</w:t>
            </w:r>
          </w:p>
        </w:tc>
        <w:tc>
          <w:tcPr>
            <w:tcW w:w="780" w:type="dxa"/>
            <w:vAlign w:val="bottom"/>
          </w:tcPr>
          <w:p>
            <w:pPr>
              <w:spacing w:after="0"/>
              <w:rPr>
                <w:sz w:val="17"/>
                <w:szCs w:val="17"/>
                <w:color w:val="auto"/>
              </w:rPr>
            </w:pPr>
          </w:p>
        </w:tc>
      </w:tr>
      <w:tr>
        <w:trPr>
          <w:trHeight w:val="515"/>
        </w:trPr>
        <w:tc>
          <w:tcPr>
            <w:tcW w:w="9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98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78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98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Pursuant to 17 C.F.R. Section 200.83</w:t>
            </w:r>
          </w:p>
        </w:tc>
        <w:tc>
          <w:tcPr>
            <w:tcW w:w="780" w:type="dxa"/>
            <w:vAlign w:val="bottom"/>
          </w:tcPr>
          <w:p>
            <w:pPr>
              <w:spacing w:after="0"/>
              <w:rPr>
                <w:sz w:val="20"/>
                <w:szCs w:val="20"/>
                <w:color w:val="auto"/>
              </w:rPr>
            </w:pPr>
          </w:p>
        </w:tc>
      </w:tr>
      <w:tr>
        <w:trPr>
          <w:trHeight w:val="365"/>
        </w:trPr>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80" w:type="dxa"/>
            <w:vAlign w:val="bottom"/>
          </w:tcPr>
          <w:p>
            <w:pPr>
              <w:jc w:val="center"/>
              <w:ind w:right="370"/>
              <w:spacing w:after="0"/>
              <w:rPr>
                <w:sz w:val="20"/>
                <w:szCs w:val="20"/>
                <w:color w:val="auto"/>
              </w:rPr>
            </w:pPr>
            <w:r>
              <w:rPr>
                <w:rFonts w:ascii="Arial" w:cs="Arial" w:eastAsia="Arial" w:hAnsi="Arial"/>
                <w:sz w:val="18"/>
                <w:szCs w:val="18"/>
                <w:b w:val="1"/>
                <w:bCs w:val="1"/>
                <w:color w:val="auto"/>
              </w:rPr>
              <w:t>PRINCIPAL AND SELLING SHAREHOLDER</w:t>
            </w:r>
          </w:p>
        </w:tc>
        <w:tc>
          <w:tcPr>
            <w:tcW w:w="780" w:type="dxa"/>
            <w:vAlign w:val="bottom"/>
          </w:tcPr>
          <w:p>
            <w:pPr>
              <w:spacing w:after="0"/>
              <w:rPr>
                <w:sz w:val="24"/>
                <w:szCs w:val="24"/>
                <w:color w:val="auto"/>
              </w:rPr>
            </w:pPr>
          </w:p>
        </w:tc>
      </w:tr>
      <w:tr>
        <w:trPr>
          <w:trHeight w:val="418"/>
        </w:trPr>
        <w:tc>
          <w:tcPr>
            <w:tcW w:w="10340" w:type="dxa"/>
            <w:vAlign w:val="bottom"/>
            <w:gridSpan w:val="3"/>
          </w:tcPr>
          <w:p>
            <w:pPr>
              <w:ind w:left="560"/>
              <w:spacing w:after="0"/>
              <w:rPr>
                <w:sz w:val="20"/>
                <w:szCs w:val="20"/>
                <w:color w:val="auto"/>
              </w:rPr>
            </w:pPr>
            <w:r>
              <w:rPr>
                <w:rFonts w:ascii="Arial" w:cs="Arial" w:eastAsia="Arial" w:hAnsi="Arial"/>
                <w:sz w:val="18"/>
                <w:szCs w:val="18"/>
                <w:color w:val="auto"/>
                <w:w w:val="94"/>
              </w:rPr>
              <w:t>The following table and related footnotes set forth information with respect to the beneficial ownership of our ordinary shares, as of</w:t>
            </w:r>
          </w:p>
        </w:tc>
        <w:tc>
          <w:tcPr>
            <w:tcW w:w="78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10340" w:type="dxa"/>
            <w:vAlign w:val="bottom"/>
            <w:gridSpan w:val="3"/>
          </w:tcPr>
          <w:p>
            <w:pPr>
              <w:ind w:left="120"/>
              <w:spacing w:after="0"/>
              <w:rPr>
                <w:sz w:val="20"/>
                <w:szCs w:val="20"/>
                <w:color w:val="auto"/>
              </w:rPr>
            </w:pPr>
            <w:r>
              <w:rPr>
                <w:rFonts w:ascii="Arial" w:cs="Arial" w:eastAsia="Arial" w:hAnsi="Arial"/>
                <w:sz w:val="18"/>
                <w:szCs w:val="18"/>
                <w:color w:val="auto"/>
              </w:rPr>
              <w:t>after giving effect to our corporate reorganization, and as adjusted to reflect the sale of the ADSs offered in this offering, by:</w:t>
            </w:r>
          </w:p>
        </w:tc>
        <w:tc>
          <w:tcPr>
            <w:tcW w:w="780" w:type="dxa"/>
            <w:vAlign w:val="bottom"/>
          </w:tcPr>
          <w:p>
            <w:pPr>
              <w:spacing w:after="0"/>
              <w:rPr>
                <w:sz w:val="20"/>
                <w:szCs w:val="20"/>
                <w:color w:val="auto"/>
              </w:rPr>
            </w:pPr>
          </w:p>
        </w:tc>
      </w:tr>
      <w:tr>
        <w:trPr>
          <w:trHeight w:val="338"/>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9440" w:type="dxa"/>
            <w:vAlign w:val="bottom"/>
            <w:gridSpan w:val="2"/>
          </w:tcPr>
          <w:p>
            <w:pPr>
              <w:ind w:left="180"/>
              <w:spacing w:after="0"/>
              <w:rPr>
                <w:sz w:val="20"/>
                <w:szCs w:val="20"/>
                <w:color w:val="auto"/>
              </w:rPr>
            </w:pPr>
            <w:r>
              <w:rPr>
                <w:rFonts w:ascii="Arial" w:cs="Arial" w:eastAsia="Arial" w:hAnsi="Arial"/>
                <w:sz w:val="18"/>
                <w:szCs w:val="18"/>
                <w:color w:val="auto"/>
              </w:rPr>
              <w:t>each beneficial owner of 5% or more of our outstanding ordinary shares;</w:t>
            </w:r>
          </w:p>
        </w:tc>
        <w:tc>
          <w:tcPr>
            <w:tcW w:w="780" w:type="dxa"/>
            <w:vAlign w:val="bottom"/>
          </w:tcPr>
          <w:p>
            <w:pPr>
              <w:spacing w:after="0"/>
              <w:rPr>
                <w:sz w:val="24"/>
                <w:szCs w:val="24"/>
                <w:color w:val="auto"/>
              </w:rPr>
            </w:pPr>
          </w:p>
        </w:tc>
      </w:tr>
      <w:tr>
        <w:trPr>
          <w:trHeight w:val="338"/>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9440" w:type="dxa"/>
            <w:vAlign w:val="bottom"/>
            <w:gridSpan w:val="2"/>
          </w:tcPr>
          <w:p>
            <w:pPr>
              <w:ind w:left="180"/>
              <w:spacing w:after="0"/>
              <w:rPr>
                <w:sz w:val="20"/>
                <w:szCs w:val="20"/>
                <w:color w:val="auto"/>
              </w:rPr>
            </w:pPr>
            <w:r>
              <w:rPr>
                <w:rFonts w:ascii="Arial" w:cs="Arial" w:eastAsia="Arial" w:hAnsi="Arial"/>
                <w:sz w:val="18"/>
                <w:szCs w:val="18"/>
                <w:color w:val="auto"/>
              </w:rPr>
              <w:t>each of our directors and executive officers;</w:t>
            </w:r>
          </w:p>
        </w:tc>
        <w:tc>
          <w:tcPr>
            <w:tcW w:w="780" w:type="dxa"/>
            <w:vAlign w:val="bottom"/>
          </w:tcPr>
          <w:p>
            <w:pPr>
              <w:spacing w:after="0"/>
              <w:rPr>
                <w:sz w:val="24"/>
                <w:szCs w:val="24"/>
                <w:color w:val="auto"/>
              </w:rPr>
            </w:pPr>
          </w:p>
        </w:tc>
      </w:tr>
      <w:tr>
        <w:trPr>
          <w:trHeight w:val="338"/>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9440" w:type="dxa"/>
            <w:vAlign w:val="bottom"/>
            <w:gridSpan w:val="2"/>
          </w:tcPr>
          <w:p>
            <w:pPr>
              <w:ind w:left="180"/>
              <w:spacing w:after="0"/>
              <w:rPr>
                <w:sz w:val="20"/>
                <w:szCs w:val="20"/>
                <w:color w:val="auto"/>
              </w:rPr>
            </w:pPr>
            <w:r>
              <w:rPr>
                <w:rFonts w:ascii="Arial" w:cs="Arial" w:eastAsia="Arial" w:hAnsi="Arial"/>
                <w:sz w:val="18"/>
                <w:szCs w:val="18"/>
                <w:color w:val="auto"/>
              </w:rPr>
              <w:t>all of our directors and executive officers as a group; and</w:t>
            </w:r>
          </w:p>
        </w:tc>
        <w:tc>
          <w:tcPr>
            <w:tcW w:w="780" w:type="dxa"/>
            <w:vAlign w:val="bottom"/>
          </w:tcPr>
          <w:p>
            <w:pPr>
              <w:spacing w:after="0"/>
              <w:rPr>
                <w:sz w:val="24"/>
                <w:szCs w:val="24"/>
                <w:color w:val="auto"/>
              </w:rPr>
            </w:pPr>
          </w:p>
        </w:tc>
      </w:tr>
      <w:tr>
        <w:trPr>
          <w:trHeight w:val="338"/>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9440" w:type="dxa"/>
            <w:vAlign w:val="bottom"/>
            <w:gridSpan w:val="2"/>
          </w:tcPr>
          <w:p>
            <w:pPr>
              <w:ind w:left="180"/>
              <w:spacing w:after="0"/>
              <w:rPr>
                <w:sz w:val="20"/>
                <w:szCs w:val="20"/>
                <w:color w:val="auto"/>
              </w:rPr>
            </w:pPr>
            <w:r>
              <w:rPr>
                <w:rFonts w:ascii="Arial" w:cs="Arial" w:eastAsia="Arial" w:hAnsi="Arial"/>
                <w:sz w:val="18"/>
                <w:szCs w:val="18"/>
                <w:color w:val="auto"/>
              </w:rPr>
              <w:t>the selling shareholder.</w:t>
            </w:r>
          </w:p>
        </w:tc>
        <w:tc>
          <w:tcPr>
            <w:tcW w:w="7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8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w:t>
      </w:r>
    </w:p>
    <w:p>
      <w:pPr>
        <w:ind w:left="120" w:right="460"/>
        <w:spacing w:after="0" w:line="290" w:lineRule="auto"/>
        <w:rPr>
          <w:sz w:val="20"/>
          <w:szCs w:val="20"/>
          <w:color w:val="auto"/>
        </w:rPr>
      </w:pPr>
      <w:r>
        <w:rPr>
          <w:rFonts w:ascii="Arial" w:cs="Arial" w:eastAsia="Arial" w:hAnsi="Arial"/>
          <w:sz w:val="17"/>
          <w:szCs w:val="17"/>
          <w:color w:val="auto"/>
        </w:rPr>
        <w:t>exercise of options that are immediately exercisable or exercisable within 60 days of , 2023. Percentage ownership calculations prior to the completion of this offering are based on ordinary shares outstanding as of , 2023 after giving effect to our corporate reorganization.</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percentage of ordinary shares beneficially owned after the completion of this offering is based on ordinary shares outstanding after this offering, including ordinary shares represented by ADSs to be issued in connection with this offering, assuming a public offering price of $ per ADS, which is the midpoint of the price range set forth on the cover page of this prospectus.</w:t>
      </w:r>
    </w:p>
    <w:p>
      <w:pPr>
        <w:spacing w:after="0" w:line="184"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“Related Party Transactions.” The principal shareholders listed below do not have voting rights with respect to their ordinary shares that are different from the voting rights of other holders of our ordinary shares.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46"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Except as otherwise indicated in the table below, addresses of the directors, executive officers and named beneficial owners are care of Arm</w:t>
      </w:r>
    </w:p>
    <w:p>
      <w:pPr>
        <w:spacing w:after="0" w:line="35"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Holdings Limited, 110 Fulbourn Road, Cambridge CB1 9NJ, United Kingdom. As of , 2023, to our knowledge, there are no U.S. record holders of our issued and outstanding ordinary shares.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Shareholder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Shareholders and Selling Shareholder:</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SoftBank Group Corp.</w:t>
      </w:r>
      <w:r>
        <w:rPr>
          <w:rFonts w:ascii="Arial" w:cs="Arial" w:eastAsia="Arial" w:hAnsi="Arial"/>
          <w:sz w:val="26"/>
          <w:szCs w:val="26"/>
          <w:color w:val="auto"/>
          <w:vertAlign w:val="superscript"/>
        </w:rPr>
        <w:t>(1)</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ind w:left="120"/>
        <w:spacing w:after="0" w:line="196" w:lineRule="auto"/>
        <w:rPr>
          <w:sz w:val="20"/>
          <w:szCs w:val="20"/>
          <w:color w:val="auto"/>
        </w:rPr>
      </w:pPr>
      <w:r>
        <w:rPr>
          <w:rFonts w:ascii="Arial" w:cs="Arial" w:eastAsia="Arial" w:hAnsi="Arial"/>
          <w:sz w:val="18"/>
          <w:szCs w:val="18"/>
          <w:color w:val="auto"/>
        </w:rPr>
        <w:t>Masayoshi Son</w:t>
      </w:r>
      <w:r>
        <w:rPr>
          <w:rFonts w:ascii="Arial" w:cs="Arial" w:eastAsia="Arial" w:hAnsi="Arial"/>
          <w:sz w:val="26"/>
          <w:szCs w:val="26"/>
          <w:color w:val="auto"/>
          <w:vertAlign w:val="superscript"/>
        </w:rPr>
        <w:t>(1)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Ronald D. Fisher</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A. Sine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Karen E. Dykstra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Michael Fadell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Rosemary Schooler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 E. Jacobs, PhD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Rene Haas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Child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Kirsty Gill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Spencer Collins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Grisenthwaite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Abbey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executive officers and directors as a group (13 individuals)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Ordinary Shares</w:t>
            </w:r>
          </w:p>
        </w:tc>
        <w:tc>
          <w:tcPr>
            <w:tcW w:w="62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Ordinary</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Ordinary Shares</w:t>
            </w:r>
          </w:p>
        </w:tc>
      </w:tr>
      <w:tr>
        <w:trPr>
          <w:trHeight w:val="148"/>
        </w:trPr>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6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Shares Offered</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r>
      <w:tr>
        <w:trPr>
          <w:trHeight w:val="162"/>
        </w:trPr>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Prior to this Offering</w:t>
            </w:r>
          </w:p>
        </w:tc>
        <w:tc>
          <w:tcPr>
            <w:tcW w:w="62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Pursuant to</w:t>
            </w: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After this Offering</w:t>
            </w:r>
          </w:p>
        </w:tc>
      </w:tr>
      <w:tr>
        <w:trPr>
          <w:trHeight w:val="142"/>
        </w:trPr>
        <w:tc>
          <w:tcPr>
            <w:tcW w:w="6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Percent</w:t>
            </w:r>
          </w:p>
        </w:tc>
        <w:tc>
          <w:tcPr>
            <w:tcW w:w="62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this Offering</w:t>
            </w:r>
          </w:p>
        </w:tc>
        <w:tc>
          <w:tcPr>
            <w:tcW w:w="620" w:type="dxa"/>
            <w:vAlign w:val="bottom"/>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-8255</wp:posOffset>
            </wp:positionV>
            <wp:extent cx="699516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265430</wp:posOffset>
            </wp:positionV>
            <wp:extent cx="69951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608330</wp:posOffset>
            </wp:positionV>
            <wp:extent cx="6995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882650</wp:posOffset>
            </wp:positionV>
            <wp:extent cx="69951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1157605</wp:posOffset>
            </wp:positionV>
            <wp:extent cx="699516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1431290</wp:posOffset>
            </wp:positionV>
            <wp:extent cx="69951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1705610</wp:posOffset>
            </wp:positionV>
            <wp:extent cx="699516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1979930</wp:posOffset>
            </wp:positionV>
            <wp:extent cx="699516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2254250</wp:posOffset>
            </wp:positionV>
            <wp:extent cx="699516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150" w:lineRule="exact"/>
        <w:rPr>
          <w:sz w:val="20"/>
          <w:szCs w:val="20"/>
          <w:color w:val="auto"/>
        </w:rPr>
      </w:pPr>
    </w:p>
    <w:p>
      <w:pPr>
        <w:sectPr>
          <w:pgSz w:w="11900" w:h="16838" w:orient="portrait"/>
          <w:cols w:equalWidth="0" w:num="2">
            <w:col w:w="4720" w:space="720"/>
            <w:col w:w="5660"/>
          </w:cols>
          <w:pgMar w:left="320" w:top="459" w:right="479" w:bottom="1440" w:gutter="0" w:footer="0" w:header="0"/>
          <w:type w:val="continuous"/>
        </w:sectPr>
      </w:pPr>
    </w:p>
    <w:p>
      <w:pPr>
        <w:spacing w:after="0" w:line="61"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right="80" w:hanging="424"/>
        <w:spacing w:after="0" w:line="260"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Masayoshi Son, who is a Director and the Chairman of our Board of Directors, is Representative Director, Corporate Officer, Chairman and CEO of SoftBank. The address for SoftBank is 1-7-1 Kaigan, Minato-ku, Tokyo 105-7537, Japan.</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The following describes our issued share capital, summarizes the material provisions of the Articles and highlights certain differences in corporate law in the England and Wales and Delaware. Please note that this summary is not intended to be exhaustive and does not purport to be complete, and is qualified in its entirety by reference to the Articles to be in effect upon completion of this offering and applicable English law. For further information, please refer to the full version of the Articles, which are included as an exhibit to the registration statement of which this prospectus is a part. Further, please note that holders of ADSs to be in effect upon completion of this offering will not be treated as one of our shareholders and will not have any shareholder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Arm Holdings plc was incorporated as a private limited company with the legal name Arm Holdings Limited under the laws of England and Wales</w:t>
      </w:r>
    </w:p>
    <w:p>
      <w:pPr>
        <w:spacing w:after="0" w:line="46"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on April 9, 2018, with the company number 11299879. Arm Holdings Limited re-registered as a public limited company on , 2023 and changed its name to Arm Holdings plc.</w:t>
      </w:r>
    </w:p>
    <w:p>
      <w:pPr>
        <w:spacing w:after="0" w:line="18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which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On March 19, 2018, as a part of a reorganization, Arm Holdings plc with the company number 02548782 re-registered as a private limited company and was renamed SVF HoldCo (UK) Limited, which became a subsidiary of SoftBank Vision Fund. Our registered office is 110 Fulbourn Road, Cambridge, Cambridgeshire, CB1 9NJ, U.K.</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Pursuant to the terms of our corporate reorganization: (i) each ordinary share in the capital of Arm Holdings Limited was transferred, by way of a dividend in specie, by Arm Limited to each of the shareholders of Arm Limited in an approximate proportion to the shareholding that such shareholders held in Arm Limited; (ii)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and (iii) Arm Holdings Limited re-registered as a public limited company and changed its name to Arm Holdings plc. See “Corporate Reorganization” for more information.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March 31, 2023, the issued share capital of Arm Limited consisted of a single class of ordinary shares, and 1,025,234,000 ordinary shares of £0.001 per share were outstanding as of such date and each issued share was (and remains) fully paid. During the period March 31, 2023 to , 2023, new ordinary shares in the capital of Arm Limited were issued.</w:t>
      </w:r>
    </w:p>
    <w:p>
      <w:pPr>
        <w:spacing w:after="0" w:line="184"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Following the share exchange between the shareholders of Arm Limited and Arm Holdings Limited as part of our corporate reorganization,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See “Corporate Reorganization” for more information.</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the completion of the remaining steps in the corporate reorganization on , 2023, the issued share capital of Arm Limited remains a single class of ordinary shares, and 1,025,234,000 ordinary shares of £0.001 per share were outstanding as of such date and each issued share is fully paid, and the issued share capital of Arm Holdings plc consists of a single class of ordinary shares, and 1,025,234,000 ordinary shares of £0.001 per share were outstanding as of such date and each issued share is fully paid.</w:t>
      </w:r>
    </w:p>
    <w:p>
      <w:pPr>
        <w:spacing w:after="0" w:line="187" w:lineRule="exact"/>
        <w:rPr>
          <w:sz w:val="20"/>
          <w:szCs w:val="20"/>
          <w:color w:val="auto"/>
        </w:rPr>
      </w:pPr>
    </w:p>
    <w:p>
      <w:pPr>
        <w:ind w:left="560"/>
        <w:spacing w:after="0"/>
        <w:tabs>
          <w:tab w:leader="none" w:pos="5180" w:val="left"/>
        </w:tabs>
        <w:rPr>
          <w:sz w:val="20"/>
          <w:szCs w:val="20"/>
          <w:color w:val="auto"/>
        </w:rPr>
      </w:pPr>
      <w:r>
        <w:rPr>
          <w:rFonts w:ascii="Arial" w:cs="Arial" w:eastAsia="Arial" w:hAnsi="Arial"/>
          <w:sz w:val="18"/>
          <w:szCs w:val="18"/>
          <w:color w:val="auto"/>
        </w:rPr>
        <w:t>Upon the completion of this offering, we will have</w:t>
      </w:r>
      <w:r>
        <w:rPr>
          <w:sz w:val="20"/>
          <w:szCs w:val="20"/>
          <w:color w:val="auto"/>
        </w:rPr>
        <w:tab/>
      </w:r>
      <w:r>
        <w:rPr>
          <w:rFonts w:ascii="Arial" w:cs="Arial" w:eastAsia="Arial" w:hAnsi="Arial"/>
          <w:sz w:val="16"/>
          <w:szCs w:val="16"/>
          <w:color w:val="auto"/>
        </w:rPr>
        <w:t>ordinary shares outstanding, including ordinary shares represented by ADSs.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the Companies Act, there is no limit on our authorized share capital. We do not have any shares that do not represent capital.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ordinary shares are held by or on behalf of the Company or by subsidiaries of the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accordance with the Articles to be in effect upon the completion of this offering, the following summarizes the rights of holders of our ordinary shares:</w:t>
      </w:r>
    </w:p>
    <w:p>
      <w:pPr>
        <w:spacing w:after="0" w:line="7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holder of our ordinary shares is entitled to one vote per ordinary share on all matters to be voted on by shareholders generally;</w:t>
      </w:r>
    </w:p>
    <w:p>
      <w:pPr>
        <w:spacing w:after="0" w:line="142" w:lineRule="exact"/>
        <w:rPr>
          <w:rFonts w:ascii="Arial" w:cs="Arial" w:eastAsia="Arial" w:hAnsi="Arial"/>
          <w:sz w:val="17"/>
          <w:szCs w:val="17"/>
          <w:color w:val="auto"/>
        </w:rPr>
      </w:pPr>
    </w:p>
    <w:p>
      <w:pPr>
        <w:ind w:left="1080" w:right="180" w:hanging="424"/>
        <w:spacing w:after="0" w:line="311"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holders of the ordinary shares shall be entitled to receive notice of, attend, speak and vote at our general meetings, provided that the Company may determine that only those persons entered into the register of members at the close of business on a day decided by the Company (being no more than 21 clear days before the day that notice of the meeting is sent) shall be entitled to receive such notice; and</w:t>
      </w:r>
    </w:p>
    <w:p>
      <w:pPr>
        <w:spacing w:after="0" w:line="54"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receive such dividends as are recommended by our directors and declared in accordance with the Articles.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“—Articles of Association”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RSUs are conditional rights to receive our ordinary shares in the future, which may also remain forfeitable unless and until specified conditions are met. Each RSU entitles the holder thereof to one ordinary share upon vesting subject to our remuneration committee’s right to settle the RSUs in cash (except in certain jurisdictions). See “Management and Executive Remuneration—Equity Incentive Plans.”</w:t>
      </w:r>
    </w:p>
    <w:p>
      <w:pPr>
        <w:spacing w:after="0" w:line="165"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As of March 31, 2023, there were a total of 11,601,185 RSUs outstanding under the 2019 AEP, which vest on the occurrence of an “exit event” (which includes 180 days after the completion of this offering) to the extent that the relevant vesting hurdle is met or exceeded.</w:t>
      </w:r>
    </w:p>
    <w:p>
      <w:pPr>
        <w:spacing w:after="0" w:line="14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March 31, 2023, there were a total of 192,999 RSUs outstanding under 2019 EIP, which vest on the occurrence of an “exit event” (which includes the completion of this offering) and are not subject to any vesting hurdle.</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As of March 31, 2023, there were a total of 11,129,734 RSUs outstanding under the 2022 RSU Plan. Except for the Israel Awards, which may have different vesting schedules, these RSUs vest over a three-year period on an annual basis prior to the completion of this offering and awards will be accounted for using the vesting schedules applicable after an initial public offering following the completion of this offering.</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2023, there were a total of 13,340 RSUs outstanding under the NED Plan, which all have vested.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Awards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Executive Awards are conditional rights to receive a specified amount of cash or our shares in the future, which may also remain forfeitable unless and until specified conditions are met. After the completion of this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offering, the Executive Awards entitle the holder thereof to ordinary shares upon vesting subject to our remuneration committee’s right to settle the Executive Awards in cash. See “Management and Executive Remuneration—Equity Incentive Plans.”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2023, there were Executive Awards in the aggregate amount of $95 million outstanding under the 2022 RSU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required by the Companies Act to keep a register of our shareholders. Under English law, the ordinary shares are deemed to be issued when the name of the shareholder is entered in the register of members. The register of members therefore is prima facie evidence of the identity of our shareholders, and the shares that they hold. The register of members generally provides limited, or no, information regarding the ultimate beneficial</w:t>
      </w:r>
    </w:p>
    <w:p>
      <w:pPr>
        <w:spacing w:after="0" w:line="2" w:lineRule="exact"/>
        <w:rPr>
          <w:sz w:val="20"/>
          <w:szCs w:val="20"/>
          <w:color w:val="auto"/>
        </w:rPr>
      </w:pPr>
    </w:p>
    <w:p>
      <w:pPr>
        <w:ind w:left="120"/>
        <w:spacing w:after="0"/>
        <w:tabs>
          <w:tab w:leader="none" w:pos="10260" w:val="left"/>
        </w:tabs>
        <w:rPr>
          <w:sz w:val="20"/>
          <w:szCs w:val="20"/>
          <w:color w:val="auto"/>
        </w:rPr>
      </w:pPr>
      <w:r>
        <w:rPr>
          <w:rFonts w:ascii="Arial" w:cs="Arial" w:eastAsia="Arial" w:hAnsi="Arial"/>
          <w:sz w:val="18"/>
          <w:szCs w:val="18"/>
          <w:color w:val="auto"/>
        </w:rPr>
        <w:t>owners of our ordinary shares. Our register of members upon the completion of this offering will be maintained by our registrar,</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Holders of the ADSs will not be treated as our shareholders and their names will therefore not be entered in our register of members. The depositary, the custodian or their nominees will be the holder of the ordinary shares underlying the ADSs. Pursuant to the terms of the deposit agreement, holders of the ADSs have a right to receive the ordinary shares underlying their ADSs. For discussion on the ADSs and ADS holder rights, see “Description of American Depositary Shares” below.</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Under the Companies Act, we must enter an allotment of shares in our statutory books as soon as practicable and in any event within two months of the allotment. We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register of members if:</w:t>
      </w:r>
    </w:p>
    <w:p>
      <w:pPr>
        <w:spacing w:after="0" w:line="131"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our register of members;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is a default or unnecessary delay in entering on the register the fact of any person having ceased to be a member.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English law generally provides shareholders with statutory preemptive rights when new shares are issued for cash; however, it is possible for a company’s articles of association, or shareholders at a general meeting representing at least 75% of our ordinary shares present (in person or by proxy) and voting at that general meeting, to disapply these preemptive rights. Such a disapplication of preemptive rights may be for a maximum period of up to five years from the date of adoption of the Articles, if the disapplication is contained in the Articles, or from the date of the shareholder resolution, if the disapplication is by shareholder resolution. In either case, this disapplication would need to be renewed by the Company’s shareholders upon its</w:t>
      </w:r>
    </w:p>
    <w:p>
      <w:pPr>
        <w:spacing w:after="0" w:line="2" w:lineRule="exact"/>
        <w:rPr>
          <w:sz w:val="20"/>
          <w:szCs w:val="20"/>
          <w:color w:val="auto"/>
        </w:rPr>
      </w:pPr>
    </w:p>
    <w:p>
      <w:pPr>
        <w:ind w:left="120"/>
        <w:spacing w:after="0"/>
        <w:tabs>
          <w:tab w:leader="none" w:pos="3900" w:val="left"/>
        </w:tabs>
        <w:rPr>
          <w:sz w:val="20"/>
          <w:szCs w:val="20"/>
          <w:color w:val="auto"/>
        </w:rPr>
      </w:pPr>
      <w:r>
        <w:rPr>
          <w:rFonts w:ascii="Arial" w:cs="Arial" w:eastAsia="Arial" w:hAnsi="Arial"/>
          <w:sz w:val="18"/>
          <w:szCs w:val="18"/>
          <w:color w:val="auto"/>
        </w:rPr>
        <w:t>expiration (</w:t>
      </w:r>
      <w:r>
        <w:rPr>
          <w:rFonts w:ascii="Arial" w:cs="Arial" w:eastAsia="Arial" w:hAnsi="Arial"/>
          <w:sz w:val="18"/>
          <w:szCs w:val="18"/>
          <w:i w:val="1"/>
          <w:iCs w:val="1"/>
          <w:color w:val="auto"/>
        </w:rPr>
        <w:t>i.e.</w:t>
      </w:r>
      <w:r>
        <w:rPr>
          <w:rFonts w:ascii="Arial" w:cs="Arial" w:eastAsia="Arial" w:hAnsi="Arial"/>
          <w:sz w:val="18"/>
          <w:szCs w:val="18"/>
          <w:color w:val="auto"/>
        </w:rPr>
        <w:t>, at least every five years). On</w:t>
      </w:r>
      <w:r>
        <w:rPr>
          <w:sz w:val="20"/>
          <w:szCs w:val="20"/>
          <w:color w:val="auto"/>
        </w:rPr>
        <w:tab/>
      </w:r>
      <w:r>
        <w:rPr>
          <w:rFonts w:ascii="Arial" w:cs="Arial" w:eastAsia="Arial" w:hAnsi="Arial"/>
          <w:sz w:val="16"/>
          <w:szCs w:val="16"/>
          <w:color w:val="auto"/>
        </w:rPr>
        <w:t>, 2023, our shareholders approved the disapplication of preemptive rights for a period ending</w:t>
      </w:r>
    </w:p>
    <w:p>
      <w:pPr>
        <w:spacing w:after="0" w:line="9" w:lineRule="exact"/>
        <w:rPr>
          <w:sz w:val="20"/>
          <w:szCs w:val="20"/>
          <w:color w:val="auto"/>
        </w:rPr>
      </w:pPr>
    </w:p>
    <w:p>
      <w:pPr>
        <w:ind w:left="120" w:right="80" w:firstLine="896"/>
        <w:spacing w:after="0" w:line="260" w:lineRule="auto"/>
        <w:tabs>
          <w:tab w:leader="none" w:pos="11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which disapplication will need to be renewed upon expiration (</w:t>
      </w:r>
      <w:r>
        <w:rPr>
          <w:rFonts w:ascii="Arial" w:cs="Arial" w:eastAsia="Arial" w:hAnsi="Arial"/>
          <w:sz w:val="18"/>
          <w:szCs w:val="18"/>
          <w:i w:val="1"/>
          <w:iCs w:val="1"/>
          <w:color w:val="auto"/>
        </w:rPr>
        <w:t>i.e.</w:t>
      </w:r>
      <w:r>
        <w:rPr>
          <w:rFonts w:ascii="Arial" w:cs="Arial" w:eastAsia="Arial" w:hAnsi="Arial"/>
          <w:sz w:val="18"/>
          <w:szCs w:val="18"/>
          <w:color w:val="auto"/>
        </w:rPr>
        <w:t>, at least every five years) to remain effective, but may be sought more frequently for additional five-year terms (or for any shorter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On December 8, 2019, all ordinary shares of £1.00 each in the capital of Arm Limited were sub-divided into ordinary shares of £0.001 each, resulting in our outstanding ordinary shares changing from 1,025,234 ordinary shares of £1.00 each to 1,025,234,000 ordinary shares of £0.001 each.</w:t>
      </w:r>
    </w:p>
    <w:p>
      <w:pPr>
        <w:spacing w:after="0" w:line="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20"/>
          </w:cols>
          <w:pgMar w:left="320" w:top="459" w:right="5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part of our corporate reorganization:</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180"/>
              <w:spacing w:after="0"/>
              <w:rPr>
                <w:sz w:val="20"/>
                <w:szCs w:val="20"/>
                <w:color w:val="auto"/>
              </w:rPr>
            </w:pPr>
            <w:r>
              <w:rPr>
                <w:rFonts w:ascii="Arial" w:cs="Arial" w:eastAsia="Arial" w:hAnsi="Arial"/>
                <w:sz w:val="18"/>
                <w:szCs w:val="18"/>
                <w:color w:val="auto"/>
              </w:rPr>
              <w:t>on</w:t>
            </w:r>
          </w:p>
        </w:tc>
        <w:tc>
          <w:tcPr>
            <w:tcW w:w="9440" w:type="dxa"/>
            <w:vAlign w:val="bottom"/>
            <w:gridSpan w:val="6"/>
          </w:tcPr>
          <w:p>
            <w:pPr>
              <w:jc w:val="right"/>
              <w:spacing w:after="0"/>
              <w:rPr>
                <w:sz w:val="20"/>
                <w:szCs w:val="20"/>
                <w:color w:val="auto"/>
              </w:rPr>
            </w:pPr>
            <w:r>
              <w:rPr>
                <w:rFonts w:ascii="Arial" w:cs="Arial" w:eastAsia="Arial" w:hAnsi="Arial"/>
                <w:sz w:val="18"/>
                <w:szCs w:val="18"/>
                <w:color w:val="auto"/>
                <w:w w:val="93"/>
              </w:rPr>
              <w:t>, 2023, all ordinary shares of £1.00 each in the capital of Arm Holdings Limited were sub-divided into ordinary shares of £0.001</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2"/>
              </w:rPr>
              <w:t>each, resulting in its outstanding ordinary shares changing from 100 ordinary shares of £1.00 each to 100,000 ordinary shares of £0.001</w:t>
            </w:r>
          </w:p>
        </w:tc>
      </w:tr>
      <w:tr>
        <w:trPr>
          <w:trHeight w:val="230"/>
        </w:trPr>
        <w:tc>
          <w:tcPr>
            <w:tcW w:w="24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each;</w:t>
            </w:r>
          </w:p>
        </w:tc>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340" w:type="dxa"/>
            <w:vAlign w:val="bottom"/>
            <w:gridSpan w:val="3"/>
          </w:tcPr>
          <w:p>
            <w:pPr>
              <w:ind w:left="180"/>
              <w:spacing w:after="0"/>
              <w:rPr>
                <w:sz w:val="20"/>
                <w:szCs w:val="20"/>
                <w:color w:val="auto"/>
              </w:rPr>
            </w:pPr>
            <w:r>
              <w:rPr>
                <w:rFonts w:ascii="Arial" w:cs="Arial" w:eastAsia="Arial" w:hAnsi="Arial"/>
                <w:sz w:val="18"/>
                <w:szCs w:val="18"/>
                <w:color w:val="auto"/>
                <w:w w:val="99"/>
              </w:rPr>
              <w:t>following the completion of the sub-division referred to above, on</w:t>
            </w:r>
          </w:p>
        </w:tc>
        <w:tc>
          <w:tcPr>
            <w:tcW w:w="4860" w:type="dxa"/>
            <w:vAlign w:val="bottom"/>
            <w:gridSpan w:val="4"/>
          </w:tcPr>
          <w:p>
            <w:pPr>
              <w:jc w:val="right"/>
              <w:spacing w:after="0"/>
              <w:rPr>
                <w:sz w:val="20"/>
                <w:szCs w:val="20"/>
                <w:color w:val="auto"/>
              </w:rPr>
            </w:pPr>
            <w:r>
              <w:rPr>
                <w:rFonts w:ascii="Arial" w:cs="Arial" w:eastAsia="Arial" w:hAnsi="Arial"/>
                <w:sz w:val="18"/>
                <w:szCs w:val="18"/>
                <w:color w:val="auto"/>
                <w:w w:val="93"/>
              </w:rPr>
              <w:t>, 2023, 768,953,990 ordinary shares of £0.001 each in the capital</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4"/>
              </w:rPr>
              <w:t>of Arm Holdings Limited were issued to Kronos II LLC and 256,180,010 ordinary shares of £0.001 each in the capital of Arm Holdings</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6"/>
              </w:rPr>
              <w:t>Limited were issued to SVF HoldCo (UK) Limited in exchange for the transfer of 769,029,000 ordinary shares of £0.001 each in the</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capital of Arm Limited and 256,205,000 ordinary shares of £0.001 each in the capital of Arm Limited by Kronos II LLC and SVF HoldCo</w:t>
            </w:r>
          </w:p>
        </w:tc>
      </w:tr>
      <w:tr>
        <w:trPr>
          <w:trHeight w:val="230"/>
        </w:trPr>
        <w:tc>
          <w:tcPr>
            <w:tcW w:w="24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(UK) Limited, respectively;</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340" w:type="dxa"/>
            <w:vAlign w:val="bottom"/>
            <w:gridSpan w:val="3"/>
          </w:tcPr>
          <w:p>
            <w:pPr>
              <w:ind w:left="180"/>
              <w:spacing w:after="0"/>
              <w:rPr>
                <w:sz w:val="20"/>
                <w:szCs w:val="20"/>
                <w:color w:val="auto"/>
              </w:rPr>
            </w:pPr>
            <w:r>
              <w:rPr>
                <w:rFonts w:ascii="Arial" w:cs="Arial" w:eastAsia="Arial" w:hAnsi="Arial"/>
                <w:sz w:val="18"/>
                <w:szCs w:val="18"/>
                <w:color w:val="auto"/>
                <w:w w:val="93"/>
              </w:rPr>
              <w:t>following the completion of the share exchange referred to above, on</w:t>
            </w:r>
          </w:p>
        </w:tc>
        <w:tc>
          <w:tcPr>
            <w:tcW w:w="3780" w:type="dxa"/>
            <w:vAlign w:val="bottom"/>
            <w:gridSpan w:val="3"/>
          </w:tcPr>
          <w:p>
            <w:pPr>
              <w:ind w:left="400"/>
              <w:spacing w:after="0"/>
              <w:rPr>
                <w:sz w:val="20"/>
                <w:szCs w:val="20"/>
                <w:color w:val="auto"/>
              </w:rPr>
            </w:pPr>
            <w:r>
              <w:rPr>
                <w:rFonts w:ascii="Arial" w:cs="Arial" w:eastAsia="Arial" w:hAnsi="Arial"/>
                <w:sz w:val="18"/>
                <w:szCs w:val="18"/>
                <w:color w:val="auto"/>
              </w:rPr>
              <w:t>, 2023, a first bonus share issue of</w:t>
            </w: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ordinary</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shares of £0.001 each in the capital of Arm Holdings Limited were issued to Kronos II LLC and SVF HoldCo (UK) Limited in proportion</w:t>
            </w:r>
          </w:p>
        </w:tc>
      </w:tr>
      <w:tr>
        <w:trPr>
          <w:trHeight w:val="230"/>
        </w:trPr>
        <w:tc>
          <w:tcPr>
            <w:tcW w:w="240" w:type="dxa"/>
            <w:vAlign w:val="bottom"/>
          </w:tcPr>
          <w:p>
            <w:pPr>
              <w:spacing w:after="0"/>
              <w:rPr>
                <w:sz w:val="20"/>
                <w:szCs w:val="20"/>
                <w:color w:val="auto"/>
              </w:rPr>
            </w:pPr>
          </w:p>
        </w:tc>
        <w:tc>
          <w:tcPr>
            <w:tcW w:w="9120" w:type="dxa"/>
            <w:vAlign w:val="bottom"/>
            <w:gridSpan w:val="6"/>
          </w:tcPr>
          <w:p>
            <w:pPr>
              <w:ind w:left="180"/>
              <w:spacing w:after="0"/>
              <w:rPr>
                <w:sz w:val="20"/>
                <w:szCs w:val="20"/>
                <w:color w:val="auto"/>
              </w:rPr>
            </w:pPr>
            <w:r>
              <w:rPr>
                <w:rFonts w:ascii="Arial" w:cs="Arial" w:eastAsia="Arial" w:hAnsi="Arial"/>
                <w:sz w:val="18"/>
                <w:szCs w:val="18"/>
                <w:color w:val="auto"/>
                <w:w w:val="93"/>
              </w:rPr>
              <w:t>to their shareholding in Arm Holdings Limited pursuant to a capitalization of the merger reserve of Arm Holdings Limited;</w:t>
            </w: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040" w:type="dxa"/>
            <w:vAlign w:val="bottom"/>
            <w:gridSpan w:val="4"/>
          </w:tcPr>
          <w:p>
            <w:pPr>
              <w:ind w:left="180"/>
              <w:spacing w:after="0"/>
              <w:rPr>
                <w:sz w:val="20"/>
                <w:szCs w:val="20"/>
                <w:color w:val="auto"/>
              </w:rPr>
            </w:pPr>
            <w:r>
              <w:rPr>
                <w:rFonts w:ascii="Arial" w:cs="Arial" w:eastAsia="Arial" w:hAnsi="Arial"/>
                <w:sz w:val="18"/>
                <w:szCs w:val="18"/>
                <w:color w:val="auto"/>
                <w:w w:val="97"/>
              </w:rPr>
              <w:t>following the completion of the first bonus share issue referred to above, on</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 2023,</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ordinary shares in the capital of Arm</w:t>
            </w:r>
          </w:p>
        </w:tc>
      </w:tr>
      <w:tr>
        <w:trPr>
          <w:trHeight w:val="230"/>
        </w:trPr>
        <w:tc>
          <w:tcPr>
            <w:tcW w:w="240" w:type="dxa"/>
            <w:vAlign w:val="bottom"/>
          </w:tcPr>
          <w:p>
            <w:pPr>
              <w:spacing w:after="0"/>
              <w:rPr>
                <w:sz w:val="20"/>
                <w:szCs w:val="20"/>
                <w:color w:val="auto"/>
              </w:rPr>
            </w:pPr>
          </w:p>
        </w:tc>
        <w:tc>
          <w:tcPr>
            <w:tcW w:w="9120" w:type="dxa"/>
            <w:vAlign w:val="bottom"/>
            <w:gridSpan w:val="6"/>
          </w:tcPr>
          <w:p>
            <w:pPr>
              <w:ind w:left="180"/>
              <w:spacing w:after="0"/>
              <w:rPr>
                <w:sz w:val="20"/>
                <w:szCs w:val="20"/>
                <w:color w:val="auto"/>
              </w:rPr>
            </w:pPr>
            <w:r>
              <w:rPr>
                <w:rFonts w:ascii="Arial" w:cs="Arial" w:eastAsia="Arial" w:hAnsi="Arial"/>
                <w:sz w:val="18"/>
                <w:szCs w:val="18"/>
                <w:color w:val="auto"/>
              </w:rPr>
              <w:t>Holdings Limited (being all of the first bonus share issue) were cancelled pursuant to a capital reduction;</w:t>
            </w: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w w:val="99"/>
              </w:rPr>
              <w:t>following the capital reduction referred to above, on</w:t>
            </w:r>
          </w:p>
        </w:tc>
        <w:tc>
          <w:tcPr>
            <w:tcW w:w="5920" w:type="dxa"/>
            <w:vAlign w:val="bottom"/>
            <w:gridSpan w:val="5"/>
          </w:tcPr>
          <w:p>
            <w:pPr>
              <w:jc w:val="right"/>
              <w:spacing w:after="0"/>
              <w:rPr>
                <w:sz w:val="20"/>
                <w:szCs w:val="20"/>
                <w:color w:val="auto"/>
              </w:rPr>
            </w:pPr>
            <w:r>
              <w:rPr>
                <w:rFonts w:ascii="Arial" w:cs="Arial" w:eastAsia="Arial" w:hAnsi="Arial"/>
                <w:sz w:val="18"/>
                <w:szCs w:val="18"/>
                <w:color w:val="auto"/>
                <w:w w:val="92"/>
              </w:rPr>
              <w:t>, 2023, a second bonus share issue of 1,025,234,000 ordinary shares of £0.001</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each in the capital of Arm Holdings Limited were issued to National City Nominees Limited as the nominee for Citibank, N.A.—London</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4"/>
              </w:rPr>
              <w:t>Branch pursuant to the direction of Kronos II LLC, and to National City Nominees Limited as the nominee for Citibank, N.A.—London</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Branch, pursuant to the direction of SVF HoldCo (UK) Limited, in proportion to the respective shareholdings of Kronos II LLC and SVF</w:t>
            </w:r>
          </w:p>
        </w:tc>
      </w:tr>
      <w:tr>
        <w:trPr>
          <w:trHeight w:val="230"/>
        </w:trPr>
        <w:tc>
          <w:tcPr>
            <w:tcW w:w="24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HoldCo (UK) Limited in Arm Holdings Limited; and</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040" w:type="dxa"/>
            <w:vAlign w:val="bottom"/>
            <w:gridSpan w:val="4"/>
          </w:tcPr>
          <w:p>
            <w:pPr>
              <w:ind w:left="180"/>
              <w:spacing w:after="0"/>
              <w:rPr>
                <w:sz w:val="20"/>
                <w:szCs w:val="20"/>
                <w:color w:val="auto"/>
              </w:rPr>
            </w:pPr>
            <w:r>
              <w:rPr>
                <w:rFonts w:ascii="Arial" w:cs="Arial" w:eastAsia="Arial" w:hAnsi="Arial"/>
                <w:sz w:val="18"/>
                <w:szCs w:val="18"/>
                <w:color w:val="auto"/>
                <w:w w:val="92"/>
              </w:rPr>
              <w:t>following the completion of the second bonus share issue referred to above, on</w:t>
            </w:r>
          </w:p>
        </w:tc>
        <w:tc>
          <w:tcPr>
            <w:tcW w:w="4160" w:type="dxa"/>
            <w:vAlign w:val="bottom"/>
            <w:gridSpan w:val="3"/>
          </w:tcPr>
          <w:p>
            <w:pPr>
              <w:jc w:val="right"/>
              <w:ind w:right="230"/>
              <w:spacing w:after="0"/>
              <w:rPr>
                <w:sz w:val="20"/>
                <w:szCs w:val="20"/>
                <w:color w:val="auto"/>
              </w:rPr>
            </w:pPr>
            <w:r>
              <w:rPr>
                <w:rFonts w:ascii="Arial" w:cs="Arial" w:eastAsia="Arial" w:hAnsi="Arial"/>
                <w:sz w:val="18"/>
                <w:szCs w:val="18"/>
                <w:color w:val="auto"/>
              </w:rPr>
              <w:t>, 2023, all ordinary shares of £0.001 each in the</w:t>
            </w:r>
          </w:p>
        </w:tc>
      </w:tr>
      <w:tr>
        <w:trPr>
          <w:trHeight w:val="216"/>
        </w:trPr>
        <w:tc>
          <w:tcPr>
            <w:tcW w:w="24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2"/>
              </w:rPr>
              <w:t>capital of Arm Holdings Limited other than those issued pursuant to the second bonus issue were re-designated as deferred shares and</w:t>
            </w:r>
          </w:p>
        </w:tc>
      </w:tr>
      <w:tr>
        <w:trPr>
          <w:trHeight w:val="230"/>
        </w:trPr>
        <w:tc>
          <w:tcPr>
            <w:tcW w:w="240" w:type="dxa"/>
            <w:vAlign w:val="bottom"/>
          </w:tcPr>
          <w:p>
            <w:pPr>
              <w:spacing w:after="0"/>
              <w:rPr>
                <w:sz w:val="20"/>
                <w:szCs w:val="20"/>
                <w:color w:val="auto"/>
              </w:rPr>
            </w:pPr>
          </w:p>
        </w:tc>
        <w:tc>
          <w:tcPr>
            <w:tcW w:w="6040" w:type="dxa"/>
            <w:vAlign w:val="bottom"/>
            <w:gridSpan w:val="4"/>
          </w:tcPr>
          <w:p>
            <w:pPr>
              <w:ind w:left="180"/>
              <w:spacing w:after="0"/>
              <w:rPr>
                <w:sz w:val="20"/>
                <w:szCs w:val="20"/>
                <w:color w:val="auto"/>
              </w:rPr>
            </w:pPr>
            <w:r>
              <w:rPr>
                <w:rFonts w:ascii="Arial" w:cs="Arial" w:eastAsia="Arial" w:hAnsi="Arial"/>
                <w:sz w:val="18"/>
                <w:szCs w:val="18"/>
                <w:color w:val="auto"/>
                <w:w w:val="95"/>
              </w:rPr>
              <w:t>subsequently repurchased by Arm Holdings Limited and cancelled thereafter.</w:t>
            </w:r>
          </w:p>
        </w:tc>
        <w:tc>
          <w:tcPr>
            <w:tcW w:w="1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Articles will be effective subject to and conditional upon completion of this offering and listing of ADSs representing our ordinary shares on Nasdaq. A summary of the terms of the Articles is set out below. The summary below is not a complete copy of the terms of the Articles.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Articles contain, among other things, provisions to the following effect: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Objects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Articles contain no specific restrictions on our purpose and therefore, by virtue of section 31(1) of the Companies Act, our purpose is unrestricted.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Subject to any rights or restrictions attached to any shares from time to time, the general voting rights attaching to shares are as follows:</w:t>
      </w:r>
    </w:p>
    <w:p>
      <w:pPr>
        <w:spacing w:after="0" w:line="142" w:lineRule="exact"/>
        <w:rPr>
          <w:sz w:val="20"/>
          <w:szCs w:val="20"/>
          <w:color w:val="auto"/>
        </w:rPr>
      </w:pPr>
    </w:p>
    <w:p>
      <w:pPr>
        <w:jc w:val="both"/>
        <w:ind w:left="1080" w:right="260" w:hanging="424"/>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resolution put to the vote at a general meeting must be decided exclusively on a poll; on a poll, every shareholder who is present in person or by proxy or corporate representative shall have one vote for each share of which they are the holder. A shareholder entitled to more than one vote on a poll need not, if they vote, use all their votes or cast all the votes in the same way; and</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6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two or more persons are joint holders of a share, then in voting on any question the vote of the senior shareholder who tenders a vote, whether in person or by proxy, shall be accepted to the exclusion of the votes of the other joint holders. For this purpose, seniority shall be determined by the order in which the names of the holders stand in the register of members.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Voting</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Unless the Board of Directors decides otherwise, no shareholder shall be entitled to vote at any general meeting or at any separate class meeting in respect of any share held by them unless all calls or other sums payable by them in respect of that share have been paid.</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Board of Directors may from time to time make calls upon the shareholders in respect of any money unpaid on their shares and each shareholder shall (subject to at least 14 clear days’ notice specifying the time or times and place of payment) pay at the time or times so specified the amount called on their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may, subject to the provisions of the Companies Act and the Articles, by ordinary resolution of the shareholders of the Company declare final dividends out of profits available for distribution in accordance with the respective rights of shareholders, but no such dividend shall exceed the amount recommended by the Board of Directors.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Board of Directors may from time to time pay shareholders such interim dividends as appears to the Board of Directors to be justified by the profits available for distribution (including any dividends at a fixed rate).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Board of Directors may retain all or part of any dividend or other sum payable on or in respect of a share on which the Company has a lien in respect of which the Board of Directors are entitled to issue an enforcement notice. Sums so deducted can be used to pay amounts owing to the Company in respect of the shares.</w:t>
      </w:r>
    </w:p>
    <w:p>
      <w:pPr>
        <w:spacing w:after="0" w:line="18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Subject to any special rights attaching to or the terms of issue of any share, no dividend or other moneys payable by us on or in respect of any share shall bear interest against us. Any dividend unclaimed after a period of 12 years from the date such dividend became due for payment shall be forfeited and shall revert to us.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Dividends may be declared or paid in any currency and the Board of Directors may decide the rate of exchange for any currency conversions that may be required, and how any costs involved are to be met.</w:t>
      </w:r>
    </w:p>
    <w:p>
      <w:pPr>
        <w:spacing w:after="0" w:line="170"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Board of Directors may, by ordinary resolution of the shareholders of the Company, direct that payment of any dividend declared may be satisfied wholly or partly by the distribution of assets, including in particular of paid up shares or debentures of any other company.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Depositary Arrangements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Articles provide for depositary arrangements and allow for the operation of the deposit agreement with the depositary, as well as to facilitate the acquisition of shares through ADRs, including a requirement to vote on a poll.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the Articles that would have the effect of delaying, deferring or preventing a change of control.</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All or any of the rights and restrictions attached to any class of shares issued may be varied or abrogated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and the terms of their issue. The Companies Act provides a right to object to the variation of the share capital by the shareholders who did not vote in favor of the variation. Should an aggregate of not less than 15% of the shareholders of the issued shares in question apply to the court to have the variation cancelled, the variation shall have no effect unless and until it is confirmed by the court.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Alteration of Share Capital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by ordinary resolution of the shareholders of the Company, consolidate all or any of our share capital into shares of larger amount than our existing shares, or sub-divide our shares or any of them into shares of a smaller amount. We may, by special resolution of the shareholders of the Company, confirmed by the court, reduce our share capital or any capital redemption reserve or any share premium account in any manner authorized by the Companies Act. We may redeem or purchase all or any of our shares as described in “—Other Relevant English Law Considerations—Purchase of Own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Allotment of Shares and Preemption Rights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Subject to the Companies Act and to any rights attached to existing shares, any share may be issued with or have attached to it such rights and restrictions as we may by ordinary resolution determine, or if no ordinary resolution has been passed or so far as the resolution does not make specific provision, as our Board of Directors may determine (including shares which are to be redeemed, or are liable to be redeemed at our option or the holder of such shares).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accordance with section 551 of the Companies Act, the Board of Directors may be generally and unconditionally authorized to exercise for each prescribed period of up to five years all the powers of the Company to allot shares up to an aggregate nominal amount equal to the amount stated in the relevant ordinary resolution authorizing such allotment.</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provisions of section 561 of the Companies Act (which confer on shareholders rights of preemption in respect of the allotment of equity securities which are paid up in cash) apply to the Company except to the extent disapplied for a period of up to five years by special resolution of the shareholders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Lien and Forfeiture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shall have a first and paramount lien on every share (not being a fully paid share) for all moneys payable to the Company (whether presently or not) in respect of that share. The Company may sell, in such manner as the Board of Directors determines, any share on which the Company has a lien if a sum in respect of which the lien exists is presently payable and is not paid within the due date for payment. Subject to the terms of the allotment, the Board of Directors may from time to time make calls on the members in respect of any moneys unpaid on their shares.</w:t>
      </w:r>
    </w:p>
    <w:p>
      <w:pPr>
        <w:spacing w:after="0" w:line="15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Each member shall (subject to receiving at least 14 clear days’ notice) pay to the Company the amount called on his or her shares. If a call or any installment of a call remains unpaid in whole or in part after it has become due and payable, the Board of Directors may give the person from whom it is due not less than 14 clear days’ notice requiring payment of the amount unpaid together with any interest which may have accrued and any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shareholder holding shares in certificated form may transfer all or any of their shares by an instrument of transfer in any usual or common form or in any other manner which is permitted by the Companies Act and approved by the Board of Directors. Any written instrument of transfer must be signed by or on behalf of the transferor and, in the case of a share which is not fully paid up, the transferee.</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(the “Uncertificated Securities Rules”) and the facilities and requirements of its relevant system. The Uncertificated Securities Rules permit shares to be issued and held in uncertificated form and transferred by means of a computer-based system.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of Directors may, in its absolute discretion, decline to register any transfer of any share in certificated form unless:</w:t>
      </w:r>
    </w:p>
    <w:p>
      <w:pPr>
        <w:spacing w:after="0" w:line="131"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for a share which is fully paid 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for a share upon which the Company has no lien;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only for one class of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in favor of a single transferee or no more than four joint transferees;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duly stamped (if this is required);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lodged at our registered office or such other place as the Board of Directors may decide, accompanied by the certificate for shares to which it relates or such other evidence (if any) as the Board of Directors may reasonably require to prove the title of the transferor or, if the transfer is executed by some other person on their behalf, the authority of that person to do so.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accordance with the Companies Act, we are required in each year to hold an annual general meeting in addition to any other general meetings in that year and to specify the meeting as such in the notice convening it. The annual general meeting shall be convened whenever and wherever the Board of Directors sees fit, subject to the requirements of the Companies Act, as described in “—Differences in Corporate Law—Annual General Meeting” and “—Differences in Corporate Law—Notice of General Meetings” below.</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arrangements for the calling of general meetings are described in “—Differences in Corporate Law—Notice of General Meetings”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of General Meetings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No business, other than the appointment of a chair, shall be transacted at any general meeting unless a quorum is present. A minimum of one shareholder present in person or by proxy and entitled to vote shall be a quorum for all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provisions in the Articles relating to general meetings apply to every separate general meeting of the holders of a class of shares except that:</w:t>
      </w:r>
    </w:p>
    <w:p>
      <w:pPr>
        <w:spacing w:after="0" w:line="154" w:lineRule="exact"/>
        <w:rPr>
          <w:sz w:val="20"/>
          <w:szCs w:val="20"/>
          <w:color w:val="auto"/>
        </w:rPr>
      </w:pPr>
    </w:p>
    <w:p>
      <w:pPr>
        <w:ind w:left="1080" w:right="16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quorum for such class meeting shall be two holders in person or by proxy representing not less than one-third in nominal value of the issued shares of the class;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at any adjourned meeting of such holders a quorum is not present at the meeting, one holder of shares of the class present in person or by proxy at an adjourned meeting constitutes a quorum.</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17"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We may not have fewer than two directors on the Board of Directors. We may, subject to the provisions of the Companies Act, by ordinary resolution of the shareholders of the Company, vary the minimum and/or impose a maximum number of directors from time to time.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 provided the total number of directors shall not exceed any maximum number imposed in accordance with the Articles.</w:t>
      </w:r>
    </w:p>
    <w:p>
      <w:pPr>
        <w:spacing w:after="0" w:line="187"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Upon completion of this offering, our Board of Directors will consist of one class of directors constituting our entire Board of Directors. At the annual general meeting all the directors shall retire from office except any director appointed by our Board of Directors after the notice of that annual general meeting has been given and before that annual general meeting has been held. Each director who retires at an annual general meeting may be reappointed, unless resolved otherwise by the Board of Directors prior to the date of the notice of such annual general meeting.</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quorum for a meeting of the Board of Directors may be determined by the Board of Directors and until otherwise determined, it is set at two directors.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Questions and matters requiring resolution arising at a meeting shall be decided by a majority of votes of the participating directors, with each director having one vote. In the case of an equality of votes, the chair will not have a casting vote or second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Interests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directors may authorize, to the fullest extent permitted by law, any matter or situation proposed to them which would otherwise result in a director infringing his or her duty to avoid a situation in which he or she has, or can have, a direct or indirect interest that conflicts, or possibly may conflict, with our interests. A director shall not, except as otherwise agreed by him or her, be accountable to us for any remuneration, profit or other benefit which he or she derives from any matter authorized by the directors or by the shareholders in general meeting and no contract shall be liable to be avoided on any such grounds.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authorization by our Board of Directors will be effective only if:</w:t>
      </w:r>
    </w:p>
    <w:p>
      <w:pPr>
        <w:spacing w:after="0" w:line="131" w:lineRule="exact"/>
        <w:rPr>
          <w:sz w:val="20"/>
          <w:szCs w:val="20"/>
          <w:color w:val="auto"/>
        </w:rPr>
      </w:pPr>
    </w:p>
    <w:p>
      <w:pPr>
        <w:ind w:left="1080" w:right="300" w:hanging="424"/>
        <w:spacing w:after="0" w:line="308"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the extent permitted by the Companies Act, the matter in question shall have been proposed by any director for consideration in the same way that any other matter may be proposed to the directors under the provisions of the Articles;</w:t>
      </w:r>
    </w:p>
    <w:p>
      <w:pPr>
        <w:spacing w:after="0" w:line="5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requirement as to the quorum for consideration of the relevant matter is met without counting the conflicted director and any other interested director; 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matter is agreed to without the interested director voting or would be agreed to if the interested director’s and any other interested director’s votes are not counted.</w:t>
      </w:r>
    </w:p>
    <w:p>
      <w:pPr>
        <w:spacing w:after="0" w:line="170"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Subject to the requirements under sections 175, 177 and 182 of the Companies Act, a director who is any way, whether directly or indirectly, interested in a proposed or existing transaction or arrangement with us shall declare the nature of his or her interest at a meeting of the directors.</w:t>
      </w:r>
    </w:p>
    <w:p>
      <w:pPr>
        <w:spacing w:after="0" w:line="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0"/>
          </w:cols>
          <w:pgMar w:left="320" w:top="459" w:right="5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Articles, a director shall not vote in respect of any transactions or arrangements with the Company in which he or she has an interest and which may reasonably be regarded as likely to give rise to a conflict of interest. A director shall not be counted in the quorum at a meeting in relation to any resolution on which he or she is debarred from voting.</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Under the Articles, certain transactions which would otherwise give rise to a conflict are considered to be permitted interests of our directors. In the event that these permitted interests arise, the director in question will still count towards the quorum requirements of the relevant meeting and be entitled to vote on resolutions relating to such permitted interests, as follows:</w:t>
      </w:r>
    </w:p>
    <w:p>
      <w:pPr>
        <w:spacing w:after="0" w:line="89" w:lineRule="exact"/>
        <w:rPr>
          <w:sz w:val="20"/>
          <w:szCs w:val="20"/>
          <w:color w:val="auto"/>
        </w:rPr>
      </w:pPr>
    </w:p>
    <w:p>
      <w:pPr>
        <w:ind w:left="1080" w:right="36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contract, transaction or arrangement or any other proposal in which he or she has an interest but of which he or she is not aware or which cannot reasonably be regarded as likely to give rise to a conflict of interest;</w:t>
      </w:r>
    </w:p>
    <w:p>
      <w:pPr>
        <w:spacing w:after="0" w:line="75"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contract, transaction or arrangement or any other proposal in which he or she has an interest only by virtue of interests in shares, debentures or other securities of the Company, or by reason of any other interest in or through the Company;</w:t>
      </w:r>
    </w:p>
    <w:p>
      <w:pPr>
        <w:spacing w:after="0" w:line="51"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giving of any guarantee, security or indemnity in respect of money lent or obligations incurred by him or her or by any other person at the request of or for the benefit of our company or any of our subsidiary undertakings;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giving of any guarantee, security or indemnity in respect of a debt or obligation of our company or any of our subsidiary undertakings for which the director themselves has assumed responsibility in whole or in part under a guarantee or indemnity or by the giving of security;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proposal or contract relating to an offer of shares or debentures or other securities of or by our company or any of our subsidiary undertakings in which offer he or she is or may be entitled to participate as a holder of securities or in the underwriting or sub-underwriting of which he or she is to participate;</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arrangement involving any other body corporate in which the director (directly or indirectly) is interested, including as an officer, shareholder, creditor, employee or otherwise, provided that he or she (together with the persons connected with him or her) is not the holder of, or beneficially interested in, one percent. or more of any issued equity share capital of any class of such body corporate or of the voting rights available to members of that relevant body corporate;</w:t>
      </w:r>
    </w:p>
    <w:p>
      <w:pPr>
        <w:spacing w:after="0" w:line="92"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arrangement for the benefit of employees or former employees of our company or any of our subsidiary undertakings which does not award him or her any privilege or benefit not generally awarded to employees or former employees to whom the arrangement relates;</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contract relating to purchase or maintenance by our company of insurance for any liability for the benefit of directors or for the benefit of a group of people which includes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arrangement concerning the giving of indemnities in favor of directors;</w:t>
      </w:r>
    </w:p>
    <w:p>
      <w:pPr>
        <w:spacing w:after="0" w:line="130" w:lineRule="exact"/>
        <w:rPr>
          <w:rFonts w:ascii="Arial" w:cs="Arial" w:eastAsia="Arial" w:hAnsi="Arial"/>
          <w:sz w:val="18"/>
          <w:szCs w:val="18"/>
          <w:color w:val="auto"/>
        </w:rPr>
      </w:pPr>
    </w:p>
    <w:p>
      <w:pPr>
        <w:ind w:left="1080" w:right="240" w:hanging="424"/>
        <w:spacing w:after="0" w:line="286"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concerning the funding of expenditure by any directors on (i) defending criminal, civil or regulatory proceedings or action against them, (ii) in connection with an application to the court for relief, (iii) defending them in any regulatory investigations, or (iv) anything that would enable the director to avoid incurring expenditure for the matters listed at (i)—(iii) hereof; and</w:t>
      </w:r>
    </w:p>
    <w:p>
      <w:pPr>
        <w:spacing w:after="0" w:line="70" w:lineRule="exact"/>
        <w:rPr>
          <w:rFonts w:ascii="Arial" w:cs="Arial" w:eastAsia="Arial" w:hAnsi="Arial"/>
          <w:sz w:val="17"/>
          <w:szCs w:val="17"/>
          <w:color w:val="auto"/>
        </w:rPr>
      </w:pPr>
    </w:p>
    <w:p>
      <w:pPr>
        <w:ind w:left="1080" w:right="7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arrangements in relation to which a director’s interest, or the interest of directors generally, have been authorized by ordinary resolution.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Fees and Remuneration</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ordinary remuneration of the directors (which may take the form of cash, securities in the Company, or such other form as the Board of Directors decide) shall from time to time be determined by the Board of</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Directors. A director’s remuneration may also include the payment of gratuities, allowances, pension or other retirement benefits, superannuation or death or disability benefits to such director.</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director who is appointed to any executive office (which, for this purpose, includes the chair or any deputy chair), who serves on any committee or who devotes special attention to the business of our company, or who otherwise performs services which in the opinion of the directors are outside the scope of the ordinary duties of a director, may be paid such extra remuneration by way of salary, commissions, participation in profits or otherwise as the Board of Directors may determine.</w:t>
      </w:r>
    </w:p>
    <w:p>
      <w:pPr>
        <w:spacing w:after="0" w:line="187" w:lineRule="exact"/>
        <w:rPr>
          <w:sz w:val="20"/>
          <w:szCs w:val="20"/>
          <w:color w:val="auto"/>
        </w:rPr>
      </w:pPr>
    </w:p>
    <w:p>
      <w:pPr>
        <w:ind w:left="120" w:right="640" w:firstLine="440"/>
        <w:spacing w:after="0" w:line="263" w:lineRule="auto"/>
        <w:rPr>
          <w:sz w:val="20"/>
          <w:szCs w:val="20"/>
          <w:color w:val="auto"/>
        </w:rPr>
      </w:pPr>
      <w:r>
        <w:rPr>
          <w:rFonts w:ascii="Arial" w:cs="Arial" w:eastAsia="Arial" w:hAnsi="Arial"/>
          <w:sz w:val="18"/>
          <w:szCs w:val="18"/>
          <w:color w:val="auto"/>
        </w:rPr>
        <w:t>Each director may be paid his or her reasonable expenses incurred for attending and returning from meetings of the Board of Directors, committees of the Board of Directors, general meetings, separate meetings of the holders of any class of shares or of debentures, or otherwise in connection with the business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Articles and the Companies Act, the Board of Directors may exercise all the powers to borrow money, provide any indemnity or guarantee, mortgage or charge our undertaking, property and uncalled capital, issue debentures and other securities and to give security, whether outright or as collateral security for any debt, liability or obligation of us or of any third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Capitalization of Profits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directors may, if they are so authorized by an ordinary resolution of the shareholders of the Company, decide to capitalize any undistributed profits of the Company not required for paying any preferential dividend, or any sum standing to the credit of the Company’s share premium account, capital redemption reserve or other undistributable reserve. To the extent a capitalized sum is appropriated from profits available for distribution it may also be applied in or towards paying up any amounts unpaid on existing shares held by the entitled members, or in paying up new debentures of the Company which are allotted credited as fully paid to the entitled members (or a combination of the two).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Indemnity</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So far as permitted by applicable law, every director or other officer of our group shall be indemnified against all costs, charges, expenses, losses and liabilities sustained or incurred by them in connection with that director’s or officer’s duties or powers in relation to the Company or other members of our group. See also “Indemnification of Directors and Officers” in Part II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English Law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Application of the U.K. City Code on Takeovers and Mergers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Takeover Code also applies to all offers for public companies which have their registered office in the U.K., the Channel Islands or the Isle of Man if they are considered by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our registered office is in the U.K., the Takeover Code does not currently apply to the us because our shares are not admitted to trading on a regulated market or multilateral trading facility in the U.K. or any stock exchange in the Channel Islands or the Isle of Man and the Takeover Panel has confirmed to us that, on the basis of the current residency of our directors as at the date of this prospectus, we will not have our place of central management and control in the U.K., the Channel Islands or the Isle of Man.</w:t>
      </w:r>
    </w:p>
    <w:p>
      <w:pPr>
        <w:spacing w:after="0" w:line="18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As a result, our shareholders are not currently entitled to the benefit of certain takeover offer protections provided under the Takeover Code, including the rules regarding mandatory takeover bids and, therefore, holders of ADSs will not benefit from these protections.</w:t>
      </w:r>
    </w:p>
    <w:p>
      <w:pPr>
        <w:spacing w:after="0" w:line="14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w:t>
      </w:r>
    </w:p>
    <w:p>
      <w:pPr>
        <w:spacing w:after="0" w:line="89" w:lineRule="exact"/>
        <w:rPr>
          <w:sz w:val="20"/>
          <w:szCs w:val="20"/>
          <w:color w:val="auto"/>
        </w:rPr>
      </w:pPr>
    </w:p>
    <w:p>
      <w:pPr>
        <w:ind w:left="1080" w:right="20" w:hanging="424"/>
        <w:spacing w:after="0" w:line="272"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Under Rule 9 of the Takeover Code, when any person acquires, whether by a series of transactions over a period of time or not, an interest in shares of the Company which, taken together with shares in which such person is already interested, and in which persons acting in concert with such person are interested, carry 30% or more of the voting rights in the Company, such person and, depending upon the circumstances, persons acting in concert with such person shall, except in limited circumstances, be obliged to extend offers, on the basis set out in Rules 9.3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82"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offer must be in cash (or accompanied by a cash alternative) at not less than the highest price paid for any interest in the shares by the person required to make an offer or any person acting in concert with such person during the 12 months prior to the announcement of the offer.</w:t>
      </w:r>
    </w:p>
    <w:p>
      <w:pPr>
        <w:spacing w:after="0" w:line="89"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similar obligation to make such a cash offer also arises when any person that (together with any persons acting in concert) is already interested in shares which in the aggregate carry 30% or more of the voting rights of the Company but does not hold shares which carry more than 50% of such voting rights acquires an interest in any other shares of the Company which increase the percentage of shares carrying voting rights in which such person is interested.</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Under the Takeover Code, “persons acting in concert” comprise persons who, pursuant to an agreement or understanding (whether formal or informal and whether or not in writing) co-operate to obtain or consolidate control of a company or to frustrate the successful outcome of an offer for a company and “control” means an interest or interests, in shares carrying in the aggregate 30% or more of the voting rights of a company, irrespective of whether the holding or holdings give de facto control.</w:t>
      </w:r>
    </w:p>
    <w:p>
      <w:pPr>
        <w:spacing w:after="0" w:line="17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For so long as SoftBank and any person acting in concert with it hold shares carrying more than 50% of the voting rights of the Company following completion of the offering, subject to the Takeover Code applying, the rules relating to mandatory bids under the Takeover Code will not apply to any acquisitions of shares made by SoftBank or its concert parties.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Squeeze-out provisions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Under sections 979 to 982 of the Companies Act, where a takeover offer has been made for us and the offeror has acquired, or unconditionally contracted to acquire, not less than 90% in value of the shares to which the offer relates and not less than 90% of the voting rights carried by those shares, the offeror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(being an offer subject to the Takeover Code), the period of six months beginning with the date of the offer.</w:t>
      </w:r>
    </w:p>
    <w:p>
      <w:pPr>
        <w:spacing w:after="0" w:line="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60"/>
          </w:cols>
          <w:pgMar w:left="320" w:top="459" w:right="51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squeeze-out of the minority shareholders can be completed at the end of six weeks from the date the notice has been given, at which time the offeror must send a copy of the notice to the Company together with an instrument of transfer executed on behalf of the outstanding shareholder(s) by a person appointed by the offeror of the shares to which the notice relates, and pay the consideration to us to be held in trust for the outstanding minority shareholders. The consideration offered to the members whose shares are compulsorily acquired under this procedure must, in general, be the same as the consideration that was available under the original offer. A dissenting shareholder may object to the transfer on the basis that the offeror is not entitled and bound to acquire shares or to specify terms of acquisition different from those in the offer by applying to court within six weeks of the date on which notice of the transfer was given.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 Out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Sections 983 to 985 of the Companies Act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their shares if, prior to the expiration of the acceptance period for such offer, (a) the offeror has acquired or unconditionally agreed to acquire not less than 90% in value of all of our shares; and (b) not less than 90% of the voting rights carried by those shares. The offeror is required to give any shareholder notice of his right to be bought out within one month of that right arising. The offeror may impose a time limit on the rights of minority shareholders to be bought out that is not less than three months after the end of the acceptance period, or if longer a period of three months from the date of the notice. If a shareholder exercises their rights to be bought out, the offeror is required to acquire those shares on the terms of the offer or on such other terms as may be agreed.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Interest in Shares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Pursuant to Part 22 of the Companies Act and the Articles, we are empowered by notice in writing to require any person whom we know or have reasonable cause to believe to be interested in our shares, or at any time during the three years immediately preceding the date on which the notice is issued has been so interested, within a reasonable time to disclose to us details of that person’s interest and (so far as is within his or her knowledge) details of any other interest that subsists or subsisted in those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Articles, if a person defaults in supplying us with the required disclosures in relation to the shares in question (the “default shares”)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prescribed period of 14 days, our directors may by notice direct that:</w:t>
      </w:r>
    </w:p>
    <w:p>
      <w:pPr>
        <w:spacing w:after="0" w:line="116" w:lineRule="exact"/>
        <w:rPr>
          <w:sz w:val="20"/>
          <w:szCs w:val="20"/>
          <w:color w:val="auto"/>
        </w:rPr>
      </w:pPr>
    </w:p>
    <w:p>
      <w:pPr>
        <w:ind w:left="1080" w:right="32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respect of the default shares and any other shares held by such person, the relevant shareholder shall not be entitled to vote (either in person or by representative or proxy) at any general meeting or to exercise any other right conferred by a shareholding in relation to general meetings; and</w:t>
      </w:r>
    </w:p>
    <w:p>
      <w:pPr>
        <w:spacing w:after="0" w:line="89"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where the default shares represent at least 0.25% in nominal value of the issued shares of their class, (a) any dividend or other money payable in respect of the default shares shall be retained by us without liability to pay interest and/or (b) no transfers by the relevant shareholder of any shares may be registered (unless the shareholder himself or herself is not in default and the shareholder provides a certificate, in a form satisfactory to the directors, to the effect that after due and careful enquiry the shareholder is satisfied that none of the shares to be transferred are default shares), provided that, where shares are uncertificated, any refusal to transfer such shares can only be made in accordance with and subject to the provisions of the Uncertificated Securities Rules.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of Own Shares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Under the laws of England and Wales, a public limited company may purchase its own shares out of the distributable profits of the company or the proceeds of a fresh issue of shares made for the purpose of financing the purchase, subject to complying with procedural requirements under the Companies Act (including that the purchase be approved by the company’s shareholders) and provided that the Articles do not restrict the</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company’s ability to purchase its own shares. Our Articles will not prohibit us from purchasing our own shares. Therefore, subject to the Companies Act and without prejudice to any relevant special rights attached to any class of shares, the Company may purchase any of its own shares of any class in any way and at any price (whether at par or above or below par).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8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Any such purchase will be either a “market purchase” or an “off market purchase,” each as defined in the Companies Act. A “market purchase” is a purchase made on a “recognized investment exchange” (other than an overseas exchange) as defined in the U.K. Financial Services and Markets Act 2000, as amended (the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share buy-back by a company of its shares will give rise to U.K. stamp duty (and may give rise to stamp duty reserve tax) at the rate of 0.5% of the amount or value of the consideration payable by the company (rounded up to the next £5.00), and such stamp duty (or stamp duty reserve tax) will be paid by the company. The charge to stamp duty reserve tax will be cancelled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88"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The Nasdaq Global Select Market is an “overseas exchange” for the purposes of the Companies Act and accordingly does not fall within the definition of a “recognized investment exchange” for the purposes of the FSMA, as modified by the Companies Act, and any purchase made by us would need to comply with the procedural requirements under the Companies Act that regulate “off market purchases.”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and Dividends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the laws of England and Wales.</w:t>
      </w:r>
    </w:p>
    <w:p>
      <w:pPr>
        <w:spacing w:after="0" w:line="1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89" w:lineRule="exact"/>
        <w:rPr>
          <w:sz w:val="20"/>
          <w:szCs w:val="20"/>
          <w:color w:val="auto"/>
        </w:rPr>
      </w:pPr>
    </w:p>
    <w:p>
      <w:pPr>
        <w:ind w:left="1080" w:right="6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its net assets to less than that total.</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Certain rights granted under the Companies Act, including the right to requisition a general meeting or require a resolution to be put to shareholders at the annual general meeting, are only available to our</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shareholders. For English law purposes, our shareholders are the persons who are registered as the owners of the legal title to the shares and whose names are recorded in our register of members. If a person who holds their ADSs in the depositary wishes to exercise certain of the rights granted under the Companies Act, they will be required to first take steps to withdraw their ADSs from the settlement system operated by the depositary and become the registered holder of the shares in our register of members. A withdrawal of shares from depositary may have tax implications.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Requisitioning Shareholder Meetings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If any shareholder or shareholders representing at least 5% of the paid-up capital of the Company carrying voting rights requests, in accordance with the provisions of the Companies Act, us to (a) call a general meeting for the purposes of bringing a resolution before the meeting, or (b) give notice of a resolution to be proposed at a general meeting, such request must among other things (in addition to any other statutory requirements):</w:t>
      </w:r>
    </w:p>
    <w:p>
      <w:pPr>
        <w:spacing w:after="0" w:line="54" w:lineRule="exact"/>
        <w:rPr>
          <w:sz w:val="20"/>
          <w:szCs w:val="20"/>
          <w:color w:val="auto"/>
        </w:rPr>
      </w:pPr>
    </w:p>
    <w:p>
      <w:pPr>
        <w:ind w:left="1080" w:right="500" w:hanging="424"/>
        <w:spacing w:after="0" w:line="342"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set forth the name and address of the requesting person and equivalent details of any person associated with it or him (in the manner contemplated by the Articles), together with details of all interests held by such person (and their associated persons) in us;</w:t>
      </w:r>
    </w:p>
    <w:p>
      <w:pPr>
        <w:spacing w:after="0" w:line="29" w:lineRule="exact"/>
        <w:rPr>
          <w:rFonts w:ascii="Arial" w:cs="Arial" w:eastAsia="Arial" w:hAnsi="Arial"/>
          <w:sz w:val="16"/>
          <w:szCs w:val="16"/>
          <w:color w:val="auto"/>
        </w:rPr>
      </w:pPr>
    </w:p>
    <w:p>
      <w:pPr>
        <w:jc w:val="both"/>
        <w:ind w:left="1080" w:right="60" w:hanging="424"/>
        <w:spacing w:after="0" w:line="31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request relates to any business the member proposes to bring before the meeting, set forth a brief description of the business desired to be brought before the meeting, the reasons for conducting such business at the meeting, the text of the proposal (including the complete text of any proposed resolutions) and, in the case of any proposal to amend the Articles, the complete text of the proposed amendment;</w:t>
      </w:r>
    </w:p>
    <w:p>
      <w:pPr>
        <w:spacing w:after="0" w:line="54" w:lineRule="exact"/>
        <w:rPr>
          <w:rFonts w:ascii="Arial" w:cs="Arial" w:eastAsia="Arial" w:hAnsi="Arial"/>
          <w:sz w:val="16"/>
          <w:szCs w:val="16"/>
          <w:color w:val="auto"/>
        </w:rPr>
      </w:pPr>
    </w:p>
    <w:p>
      <w:pPr>
        <w:jc w:val="both"/>
        <w:ind w:left="1080" w:right="80" w:hanging="424"/>
        <w:spacing w:after="0" w:line="286"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set forth, as to each person (if any) whom the shareholder proposes to nominate for appointment to the Board of Directors, all information that would be required to be disclosed by us in connection with the election of directors, and such other information as we may require to determine the eligibility of such proposed nominee for appointment to the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non-resident holders of our ordinary shares or ADSs representing our ordinary shares, other than withholding tax requirements. There is no limitation imposed by the laws of England and Wales or in the Articles on the right of non-residents to hold or vote shares.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the laws of England and Wales.</w:t>
      </w:r>
    </w:p>
    <w:p>
      <w:pPr>
        <w:sectPr>
          <w:pgSz w:w="11900" w:h="16838" w:orient="portrait"/>
          <w:cols w:equalWidth="0" w:num="1">
            <w:col w:w="11100"/>
          </w:cols>
          <w:pgMar w:left="320" w:top="459" w:right="479" w:bottom="1440" w:gutter="0" w:footer="0" w:header="0"/>
        </w:sectPr>
      </w:pP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England and Wales</w:t>
      </w:r>
    </w:p>
    <w:p>
      <w:pPr>
        <w:spacing w:after="0" w:line="12"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Number of Directors</w:t>
      </w:r>
      <w:r>
        <w:rPr>
          <w:sz w:val="20"/>
          <w:szCs w:val="20"/>
          <w:color w:val="auto"/>
        </w:rPr>
        <w:tab/>
      </w:r>
      <w:r>
        <w:rPr>
          <w:rFonts w:ascii="Arial" w:cs="Arial" w:eastAsia="Arial" w:hAnsi="Arial"/>
          <w:sz w:val="16"/>
          <w:szCs w:val="16"/>
          <w:color w:val="auto"/>
        </w:rPr>
        <w:t>Under the Companies Act, a public limited company</w:t>
      </w:r>
    </w:p>
    <w:p>
      <w:pPr>
        <w:spacing w:after="0" w:line="7" w:lineRule="exact"/>
        <w:rPr>
          <w:sz w:val="20"/>
          <w:szCs w:val="20"/>
          <w:color w:val="auto"/>
        </w:rPr>
      </w:pPr>
    </w:p>
    <w:p>
      <w:pPr>
        <w:ind w:left="3120"/>
        <w:spacing w:after="0" w:line="255" w:lineRule="auto"/>
        <w:rPr>
          <w:sz w:val="20"/>
          <w:szCs w:val="20"/>
          <w:color w:val="auto"/>
        </w:rPr>
      </w:pPr>
      <w:r>
        <w:rPr>
          <w:rFonts w:ascii="Arial" w:cs="Arial" w:eastAsia="Arial" w:hAnsi="Arial"/>
          <w:sz w:val="18"/>
          <w:szCs w:val="18"/>
          <w:color w:val="auto"/>
        </w:rPr>
        <w:t>must have at least two directors and the number of directors may be fixed by or in the manner provided in the company’s articles of association.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 unless the certificate of incorporation fixes the number of directors, in which case a change in the number of directors may be made only by amendment of the certificate of incorporation.</w:t>
      </w:r>
    </w:p>
    <w:p>
      <w:pPr>
        <w:sectPr>
          <w:pgSz w:w="11900" w:h="16838" w:orient="portrait"/>
          <w:cols w:equalWidth="0" w:num="2">
            <w:col w:w="7060" w:space="120"/>
            <w:col w:w="3920"/>
          </w:cols>
          <w:pgMar w:left="320" w:top="459" w:right="47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jc w:val="right"/>
        <w:ind w:right="1660"/>
        <w:spacing w:after="0"/>
        <w:tabs>
          <w:tab w:leader="none" w:pos="56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ectPr>
          <w:pgSz w:w="11900" w:h="16838" w:orient="portrait"/>
          <w:cols w:equalWidth="0" w:num="1">
            <w:col w:w="11100"/>
          </w:cols>
          <w:pgMar w:left="320" w:top="459" w:right="479" w:bottom="1440" w:gutter="0" w:footer="0" w:header="0"/>
        </w:sectPr>
      </w:pP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Annual General Meeting</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Companies Act, shareholders may 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must also be followed, such as allowing the director to make representations against his or her removal either at the meeting or in writing.</w:t>
      </w:r>
    </w:p>
    <w:p>
      <w:pPr>
        <w:spacing w:after="0" w:line="2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Companies Act, a public limited company must hold an annual general meeting in each six-month period following its annual accounting reference date.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stockholders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68"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4" w:hanging="4"/>
        <w:spacing w:after="0" w:line="288" w:lineRule="auto"/>
        <w:tabs>
          <w:tab w:leader="none" w:pos="248" w:val="left"/>
        </w:tabs>
        <w:numPr>
          <w:ilvl w:val="0"/>
          <w:numId w:val="87"/>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(b) the certificate of incorporation directs that a particular class of stock or series thereof is to elect such director, in which case a majority of the other directors elected by such class or series, or a sole remaining director elected by such class or series, will fill such vacancy.</w:t>
      </w:r>
    </w:p>
    <w:p>
      <w:pPr>
        <w:spacing w:after="0" w:line="60" w:lineRule="exact"/>
        <w:rPr>
          <w:sz w:val="20"/>
          <w:szCs w:val="20"/>
          <w:color w:val="auto"/>
        </w:rPr>
      </w:pPr>
    </w:p>
    <w:p>
      <w:pPr>
        <w:ind w:left="4" w:right="100"/>
        <w:spacing w:after="0" w:line="296"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3" w:lineRule="exact"/>
        <w:rPr>
          <w:sz w:val="20"/>
          <w:szCs w:val="20"/>
          <w:color w:val="auto"/>
        </w:rPr>
      </w:pPr>
    </w:p>
    <w:p>
      <w:pPr>
        <w:sectPr>
          <w:pgSz w:w="11900" w:h="16838" w:orient="portrait"/>
          <w:cols w:equalWidth="0" w:num="3">
            <w:col w:w="2400" w:space="720"/>
            <w:col w:w="3940" w:space="116"/>
            <w:col w:w="3924"/>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i w:val="1"/>
          <w:iCs w:val="1"/>
          <w:color w:val="auto"/>
        </w:rPr>
        <w:t>General Meeting</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Under the Companies Act, a general meeting of the shareholders of a public limited company may be called by the directors.</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holding at least 5% of the paid-up capital of the company carrying voting rights at general meetings (excluding any paid up capital held as treasury shares) can require the directors to call a general meeting and, if the directors fail to do so within a certain period, may</w:t>
      </w:r>
    </w:p>
    <w:p>
      <w:pPr>
        <w:spacing w:after="0" w:line="20" w:lineRule="exact"/>
        <w:rPr>
          <w:sz w:val="20"/>
          <w:szCs w:val="20"/>
          <w:color w:val="auto"/>
        </w:rPr>
      </w:pPr>
      <w:r>
        <w:rPr>
          <w:sz w:val="20"/>
          <w:szCs w:val="20"/>
          <w:color w:val="auto"/>
        </w:rPr>
        <w:br w:type="column"/>
      </w:r>
    </w:p>
    <w:p>
      <w:pPr>
        <w:ind w:right="60"/>
        <w:spacing w:after="0" w:line="301"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1304" w:lineRule="exact"/>
        <w:rPr>
          <w:sz w:val="20"/>
          <w:szCs w:val="20"/>
          <w:color w:val="auto"/>
        </w:rPr>
      </w:pPr>
    </w:p>
    <w:p>
      <w:pPr>
        <w:sectPr>
          <w:pgSz w:w="11900" w:h="16838" w:orient="portrait"/>
          <w:cols w:equalWidth="0" w:num="3">
            <w:col w:w="2400" w:space="720"/>
            <w:col w:w="3940" w:space="120"/>
            <w:col w:w="3920"/>
          </w:cols>
          <w:pgMar w:left="320" w:top="459" w:right="479" w:bottom="1440" w:gutter="0" w:footer="0" w:header="0"/>
          <w:type w:val="continuous"/>
        </w:sectPr>
      </w:pPr>
    </w:p>
    <w:p>
      <w:pPr>
        <w:jc w:val="center"/>
        <w:ind w:right="-37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100"/>
          </w:cols>
          <w:pgMar w:left="320" w:top="459" w:right="479"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jc w:val="right"/>
        <w:ind w:right="1680"/>
        <w:spacing w:after="0"/>
        <w:tabs>
          <w:tab w:leader="none" w:pos="56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pacing w:after="0" w:line="1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themselves (or any of them representing more than</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one half of the total voting rights of all of them)</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convene a general meeting.</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Notice of General Meetings</w:t>
      </w:r>
      <w:r>
        <w:rPr>
          <w:sz w:val="20"/>
          <w:szCs w:val="20"/>
          <w:color w:val="auto"/>
        </w:rPr>
        <w:tab/>
      </w:r>
      <w:r>
        <w:rPr>
          <w:rFonts w:ascii="Arial" w:cs="Arial" w:eastAsia="Arial" w:hAnsi="Arial"/>
          <w:sz w:val="16"/>
          <w:szCs w:val="16"/>
          <w:color w:val="auto"/>
        </w:rPr>
        <w:t>Subject to a company’s articles of association</w:t>
      </w:r>
    </w:p>
    <w:p>
      <w:pPr>
        <w:spacing w:after="0" w:line="23" w:lineRule="exact"/>
        <w:rPr>
          <w:sz w:val="20"/>
          <w:szCs w:val="20"/>
          <w:color w:val="auto"/>
        </w:rPr>
      </w:pPr>
    </w:p>
    <w:p>
      <w:pPr>
        <w:ind w:left="3120"/>
        <w:spacing w:after="0" w:line="266" w:lineRule="auto"/>
        <w:rPr>
          <w:sz w:val="20"/>
          <w:szCs w:val="20"/>
          <w:color w:val="auto"/>
        </w:rPr>
      </w:pPr>
      <w:r>
        <w:rPr>
          <w:rFonts w:ascii="Arial" w:cs="Arial" w:eastAsia="Arial" w:hAnsi="Arial"/>
          <w:sz w:val="17"/>
          <w:szCs w:val="17"/>
          <w:color w:val="auto"/>
        </w:rPr>
        <w:t>providing for a longer period, under the Companies Act, at least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81"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7"/>
          <w:szCs w:val="17"/>
          <w:b w:val="1"/>
          <w:bCs w:val="1"/>
          <w:i w:val="1"/>
          <w:iCs w:val="1"/>
          <w:color w:val="auto"/>
        </w:rPr>
        <w:t>Quorum</w:t>
      </w:r>
      <w:r>
        <w:rPr>
          <w:sz w:val="20"/>
          <w:szCs w:val="20"/>
          <w:color w:val="auto"/>
        </w:rPr>
        <w:tab/>
      </w:r>
      <w:r>
        <w:rPr>
          <w:rFonts w:ascii="Arial" w:cs="Arial" w:eastAsia="Arial" w:hAnsi="Arial"/>
          <w:sz w:val="17"/>
          <w:szCs w:val="17"/>
          <w:color w:val="auto"/>
        </w:rPr>
        <w:t>Subject to the provisions of a company’s articles of</w:t>
      </w:r>
    </w:p>
    <w:p>
      <w:pPr>
        <w:spacing w:after="0" w:line="35" w:lineRule="exact"/>
        <w:rPr>
          <w:sz w:val="20"/>
          <w:szCs w:val="20"/>
          <w:color w:val="auto"/>
        </w:rPr>
      </w:pPr>
    </w:p>
    <w:p>
      <w:pPr>
        <w:ind w:left="3120"/>
        <w:spacing w:after="0" w:line="253" w:lineRule="auto"/>
        <w:rPr>
          <w:sz w:val="20"/>
          <w:szCs w:val="20"/>
          <w:color w:val="auto"/>
        </w:rPr>
      </w:pPr>
      <w:r>
        <w:rPr>
          <w:rFonts w:ascii="Arial" w:cs="Arial" w:eastAsia="Arial" w:hAnsi="Arial"/>
          <w:sz w:val="18"/>
          <w:szCs w:val="18"/>
          <w:color w:val="auto"/>
        </w:rPr>
        <w:t>association, the Companies Act provides that two shareholders present at a meeting (in person, by proxy or authorized representative under the Companies Act) shall constitute a quorum for companies with more than one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Proxy</w:t>
      </w:r>
      <w:r>
        <w:rPr>
          <w:sz w:val="20"/>
          <w:szCs w:val="20"/>
          <w:color w:val="auto"/>
        </w:rPr>
        <w:tab/>
      </w:r>
      <w:r>
        <w:rPr>
          <w:rFonts w:ascii="Arial" w:cs="Arial" w:eastAsia="Arial" w:hAnsi="Arial"/>
          <w:sz w:val="18"/>
          <w:szCs w:val="18"/>
          <w:color w:val="auto"/>
        </w:rPr>
        <w:t>Under the Companies Act, at any meeting of</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shareholders, a shareholder may designate another</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person to attend, speak and vote at the meeting 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their behalf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10 days nor more than 60 days before the date of the meeting and shall specify the place, date, hour, the means of remote communications by which stockholders and proxy holders may be deemed present and may vote at the meeting, the record date for determining stockholders entitled to vote at the meeting (if different than the record date for determining stockholders entitled to notice) and, if the meeting is a special meeting, the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060" w:space="120"/>
            <w:col w:w="3940"/>
          </w:cols>
          <w:pgMar w:left="320" w:top="459" w:right="45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jc w:val="right"/>
        <w:ind w:right="1680"/>
        <w:spacing w:after="0"/>
        <w:tabs>
          <w:tab w:leader="none" w:pos="56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ectPr>
          <w:pgSz w:w="11900" w:h="16838" w:orient="portrait"/>
          <w:cols w:equalWidth="0" w:num="1">
            <w:col w:w="11120"/>
          </w:cols>
          <w:pgMar w:left="320" w:top="459" w:right="459" w:bottom="1440" w:gutter="0" w:footer="0" w:header="0"/>
        </w:sectPr>
      </w:pPr>
    </w:p>
    <w:p>
      <w:pPr>
        <w:spacing w:after="0" w:line="104"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Preemptive Rights</w:t>
      </w:r>
      <w:r>
        <w:rPr>
          <w:sz w:val="20"/>
          <w:szCs w:val="20"/>
          <w:color w:val="auto"/>
        </w:rPr>
        <w:tab/>
      </w:r>
      <w:r>
        <w:rPr>
          <w:rFonts w:ascii="Arial" w:cs="Arial" w:eastAsia="Arial" w:hAnsi="Arial"/>
          <w:sz w:val="16"/>
          <w:szCs w:val="16"/>
          <w:color w:val="auto"/>
        </w:rPr>
        <w:t>Under the Companies Act, “equity securities,” being</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 shares in the company other than shares that, with</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respect to dividends and capital, carry a right to</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participate only up to a specified amount in a</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distribution, referred to as “ordinary shares,” 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 rights to subscribe for, or to convert securities into,</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ordinary shares, proposed to be allotted for cash must</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be offered first to the existing holders of equity shares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in the company in proportion to the respective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nominal value of their holdings, unless an exception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applies or a special resolution to the contrary has been</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passed by shareholders in a general meeting or the</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articles of association provide otherwise in each case</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in accordance with the provisions of the Companies</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Act.</w:t>
      </w:r>
    </w:p>
    <w:p>
      <w:pPr>
        <w:spacing w:after="0" w:line="10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Authority to Allot</w:t>
      </w:r>
      <w:r>
        <w:rPr>
          <w:sz w:val="20"/>
          <w:szCs w:val="20"/>
          <w:color w:val="auto"/>
        </w:rPr>
        <w:tab/>
      </w:r>
      <w:r>
        <w:rPr>
          <w:rFonts w:ascii="Arial" w:cs="Arial" w:eastAsia="Arial" w:hAnsi="Arial"/>
          <w:sz w:val="16"/>
          <w:szCs w:val="16"/>
          <w:color w:val="auto"/>
        </w:rPr>
        <w:t>Under the Companies Act, the directors of a company</w:t>
      </w:r>
    </w:p>
    <w:p>
      <w:pPr>
        <w:spacing w:after="0" w:line="23" w:lineRule="exact"/>
        <w:rPr>
          <w:sz w:val="20"/>
          <w:szCs w:val="20"/>
          <w:color w:val="auto"/>
        </w:rPr>
      </w:pPr>
    </w:p>
    <w:p>
      <w:pPr>
        <w:ind w:left="3120" w:right="20"/>
        <w:spacing w:after="0" w:line="252" w:lineRule="auto"/>
        <w:rPr>
          <w:sz w:val="20"/>
          <w:szCs w:val="20"/>
          <w:color w:val="auto"/>
        </w:rPr>
      </w:pPr>
      <w:r>
        <w:rPr>
          <w:rFonts w:ascii="Arial" w:cs="Arial" w:eastAsia="Arial" w:hAnsi="Arial"/>
          <w:sz w:val="18"/>
          <w:szCs w:val="18"/>
          <w:color w:val="auto"/>
        </w:rPr>
        <w:t>must not allot shares or grant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Liability of Directors and Officers</w:t>
      </w:r>
      <w:r>
        <w:rPr>
          <w:sz w:val="20"/>
          <w:szCs w:val="20"/>
          <w:color w:val="auto"/>
        </w:rPr>
        <w:tab/>
      </w:r>
      <w:r>
        <w:rPr>
          <w:rFonts w:ascii="Arial" w:cs="Arial" w:eastAsia="Arial" w:hAnsi="Arial"/>
          <w:sz w:val="16"/>
          <w:szCs w:val="16"/>
          <w:color w:val="auto"/>
        </w:rPr>
        <w:t>Under the Companies Act, any provision, whether</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contained in a company’s articles of association or any</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contract or otherwise, that purports to exempt a</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director of a company, to any extent, from any liability</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that would otherwise attach to him or her in</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connection with any negligence, default, breach of</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duty or breach of trust in relation to the company is</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void.</w:t>
      </w:r>
    </w:p>
    <w:p>
      <w:pPr>
        <w:spacing w:after="0" w:line="116" w:lineRule="exact"/>
        <w:rPr>
          <w:sz w:val="20"/>
          <w:szCs w:val="20"/>
          <w:color w:val="auto"/>
        </w:rPr>
      </w:pPr>
    </w:p>
    <w:p>
      <w:pPr>
        <w:ind w:left="3120" w:right="120"/>
        <w:spacing w:after="0" w:line="293" w:lineRule="auto"/>
        <w:rPr>
          <w:sz w:val="20"/>
          <w:szCs w:val="20"/>
          <w:color w:val="auto"/>
        </w:rPr>
      </w:pPr>
      <w:r>
        <w:rPr>
          <w:rFonts w:ascii="Arial" w:cs="Arial" w:eastAsia="Arial" w:hAnsi="Arial"/>
          <w:sz w:val="16"/>
          <w:szCs w:val="16"/>
          <w:color w:val="auto"/>
        </w:rPr>
        <w:t>Any provision by which a company directly or indirectly provides an indemnity, to any extent, for a director of the company or of an associated company against any liability attaching to him or her in connection with any negligence, default, breach of duty or breach of trust in relation 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law, the board of directors or, if the certificate of incorporation so provides, the stockholders have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monetary damages arising from a breach of fiduciary duty as a director. However, no provision can limit the liability of a director for:</w:t>
      </w:r>
    </w:p>
    <w:p>
      <w:pPr>
        <w:spacing w:after="0" w:line="100" w:lineRule="exact"/>
        <w:rPr>
          <w:sz w:val="20"/>
          <w:szCs w:val="20"/>
          <w:color w:val="auto"/>
        </w:rPr>
      </w:pPr>
    </w:p>
    <w:p>
      <w:pPr>
        <w:ind w:left="720" w:right="160" w:hanging="269"/>
        <w:spacing w:after="0" w:line="342" w:lineRule="auto"/>
        <w:rPr>
          <w:sz w:val="20"/>
          <w:szCs w:val="20"/>
          <w:color w:val="auto"/>
        </w:rPr>
      </w:pPr>
      <w:r>
        <w:rPr>
          <w:rFonts w:ascii="Arial" w:cs="Arial" w:eastAsia="Arial" w:hAnsi="Arial"/>
          <w:sz w:val="16"/>
          <w:szCs w:val="16"/>
          <w:color w:val="auto"/>
        </w:rPr>
        <w:t>•  any breach of the director’s duty of loyalty to the corporation or its stockholders;</w:t>
      </w:r>
    </w:p>
    <w:p>
      <w:pPr>
        <w:spacing w:after="0" w:line="29" w:lineRule="exact"/>
        <w:rPr>
          <w:sz w:val="20"/>
          <w:szCs w:val="20"/>
          <w:color w:val="auto"/>
        </w:rPr>
      </w:pPr>
    </w:p>
    <w:p>
      <w:pPr>
        <w:ind w:left="720" w:hanging="269"/>
        <w:spacing w:after="0" w:line="263" w:lineRule="auto"/>
        <w:rPr>
          <w:sz w:val="20"/>
          <w:szCs w:val="20"/>
          <w:color w:val="auto"/>
        </w:rPr>
      </w:pPr>
      <w:r>
        <w:rPr>
          <w:rFonts w:ascii="Arial" w:cs="Arial" w:eastAsia="Arial" w:hAnsi="Arial"/>
          <w:sz w:val="18"/>
          <w:szCs w:val="18"/>
          <w:color w:val="auto"/>
        </w:rPr>
        <w:t>•  acts or omissions not in good faith or that involve intentional misconduct or a knowing violation of law;</w:t>
      </w:r>
    </w:p>
    <w:p>
      <w:pPr>
        <w:spacing w:after="0" w:line="439" w:lineRule="exact"/>
        <w:rPr>
          <w:sz w:val="20"/>
          <w:szCs w:val="20"/>
          <w:color w:val="auto"/>
        </w:rPr>
      </w:pPr>
    </w:p>
    <w:p>
      <w:pPr>
        <w:sectPr>
          <w:pgSz w:w="11900" w:h="16838" w:orient="portrait"/>
          <w:cols w:equalWidth="0" w:num="2">
            <w:col w:w="7060" w:space="120"/>
            <w:col w:w="3940"/>
          </w:cols>
          <w:pgMar w:left="320" w:top="459" w:right="459" w:bottom="1440" w:gutter="0" w:footer="0" w:header="0"/>
          <w:type w:val="continuous"/>
        </w:sectPr>
      </w:pPr>
    </w:p>
    <w:p>
      <w:pPr>
        <w:jc w:val="center"/>
        <w:ind w:right="-35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120"/>
          </w:cols>
          <w:pgMar w:left="320" w:top="459" w:right="45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20"/>
          </w:cols>
          <w:pgMar w:left="320" w:top="459" w:right="459" w:bottom="1440" w:gutter="0" w:footer="0" w:header="0"/>
        </w:sectPr>
      </w:pPr>
    </w:p>
    <w:p>
      <w:pPr>
        <w:spacing w:after="0" w:line="13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England and Wales</w:t>
      </w:r>
    </w:p>
    <w:p>
      <w:pPr>
        <w:spacing w:after="0" w:line="12" w:lineRule="exact"/>
        <w:rPr>
          <w:sz w:val="20"/>
          <w:szCs w:val="20"/>
          <w:color w:val="auto"/>
        </w:rPr>
      </w:pPr>
    </w:p>
    <w:p>
      <w:pPr>
        <w:ind w:left="3120"/>
        <w:spacing w:after="0" w:line="267" w:lineRule="auto"/>
        <w:rPr>
          <w:sz w:val="20"/>
          <w:szCs w:val="20"/>
          <w:color w:val="auto"/>
        </w:rPr>
      </w:pPr>
      <w:r>
        <w:rPr>
          <w:rFonts w:ascii="Arial" w:cs="Arial" w:eastAsia="Arial" w:hAnsi="Arial"/>
          <w:sz w:val="17"/>
          <w:szCs w:val="17"/>
          <w:color w:val="auto"/>
        </w:rPr>
        <w:t>of which he or she is a director is also void except as permitted by the Companies Act,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or she is convicted); and (c) provide a “qualifying pension scheme indemnity” (being an indemnity against liability incurred in connection with activities as trustee of an occupational pension plan).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Delaware</w:t>
      </w:r>
    </w:p>
    <w:p>
      <w:pPr>
        <w:spacing w:after="0" w:line="117" w:lineRule="exact"/>
        <w:rPr>
          <w:sz w:val="20"/>
          <w:szCs w:val="20"/>
          <w:color w:val="auto"/>
        </w:rPr>
      </w:pPr>
    </w:p>
    <w:p>
      <w:pPr>
        <w:ind w:left="280" w:right="20" w:hanging="269"/>
        <w:spacing w:after="0" w:line="263" w:lineRule="auto"/>
        <w:rPr>
          <w:sz w:val="20"/>
          <w:szCs w:val="20"/>
          <w:color w:val="auto"/>
        </w:rPr>
      </w:pPr>
      <w:r>
        <w:rPr>
          <w:rFonts w:ascii="Arial" w:cs="Arial" w:eastAsia="Arial" w:hAnsi="Arial"/>
          <w:sz w:val="18"/>
          <w:szCs w:val="18"/>
          <w:color w:val="auto"/>
        </w:rPr>
        <w:t>•  intentional or negligent payment of unlawful dividends or stock purchases or redemptions; or</w:t>
      </w:r>
    </w:p>
    <w:p>
      <w:pPr>
        <w:spacing w:after="0" w:line="89" w:lineRule="exact"/>
        <w:rPr>
          <w:sz w:val="20"/>
          <w:szCs w:val="20"/>
          <w:color w:val="auto"/>
        </w:rPr>
      </w:pPr>
    </w:p>
    <w:p>
      <w:pPr>
        <w:ind w:left="280" w:right="400" w:hanging="269"/>
        <w:spacing w:after="0" w:line="342" w:lineRule="auto"/>
        <w:rPr>
          <w:sz w:val="20"/>
          <w:szCs w:val="20"/>
          <w:color w:val="auto"/>
        </w:rPr>
      </w:pPr>
      <w:r>
        <w:rPr>
          <w:rFonts w:ascii="Arial" w:cs="Arial" w:eastAsia="Arial" w:hAnsi="Arial"/>
          <w:sz w:val="16"/>
          <w:szCs w:val="16"/>
          <w:color w:val="auto"/>
        </w:rPr>
        <w:t>•  any transaction from which the director derives an improper personal benefit.</w:t>
      </w:r>
    </w:p>
    <w:p>
      <w:pPr>
        <w:spacing w:after="0" w:line="1284" w:lineRule="exact"/>
        <w:rPr>
          <w:sz w:val="20"/>
          <w:szCs w:val="20"/>
          <w:color w:val="auto"/>
        </w:rPr>
      </w:pPr>
    </w:p>
    <w:p>
      <w:pPr>
        <w:sectPr>
          <w:pgSz w:w="11900" w:h="16838" w:orient="portrait"/>
          <w:cols w:equalWidth="0" w:num="2">
            <w:col w:w="7060" w:space="560"/>
            <w:col w:w="3500"/>
          </w:cols>
          <w:pgMar w:left="320" w:top="459" w:right="459" w:bottom="1440" w:gutter="0" w:footer="0" w:header="0"/>
          <w:type w:val="continuous"/>
        </w:sect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6"/>
          <w:szCs w:val="16"/>
          <w:color w:val="auto"/>
        </w:rPr>
        <w:t>Unless a poll is demanded by the shareholders of a</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company or is required by the chairman of the meeting</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or the company’s articles of association, shareholders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shall vote on all resolutions on a show of hands. Under</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Companies Act, a poll may be demanded by</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 not fewer than five shareholders having the right to</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vote on the resolution; (b) any shareholder(s)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representing not less than 10% of the total voting</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rights of all the shareholders having the right to vote</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on the resolution (excluding any voting rights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attaching to treasury shares); or (c) any shareholder(s)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holding shares in the company conferring a right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vote on the resolution (excluding any voting rights</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attaching to treasury shares) being shares on which an</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aggregate sum has been paid up equal to not less than</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10% of the total sum paid up on all the shares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conferring that right. A company’s articles of</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association may provide more extensive rights for</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shareholders to call a poll.</w:t>
      </w:r>
    </w:p>
    <w:p>
      <w:pPr>
        <w:spacing w:after="0" w:line="116" w:lineRule="exact"/>
        <w:rPr>
          <w:sz w:val="20"/>
          <w:szCs w:val="20"/>
          <w:color w:val="auto"/>
        </w:rPr>
      </w:pPr>
    </w:p>
    <w:p>
      <w:pPr>
        <w:ind w:left="3120" w:right="20"/>
        <w:spacing w:after="0" w:line="269" w:lineRule="auto"/>
        <w:rPr>
          <w:sz w:val="20"/>
          <w:szCs w:val="20"/>
          <w:color w:val="auto"/>
        </w:rPr>
      </w:pPr>
      <w:r>
        <w:rPr>
          <w:rFonts w:ascii="Arial" w:cs="Arial" w:eastAsia="Arial" w:hAnsi="Arial"/>
          <w:sz w:val="17"/>
          <w:szCs w:val="17"/>
          <w:color w:val="auto"/>
        </w:rPr>
        <w:t>Under the laws of England and Wales,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5653" w:lineRule="exact"/>
        <w:rPr>
          <w:sz w:val="20"/>
          <w:szCs w:val="20"/>
          <w:color w:val="auto"/>
        </w:rPr>
      </w:pPr>
    </w:p>
    <w:p>
      <w:pPr>
        <w:sectPr>
          <w:pgSz w:w="11900" w:h="16838" w:orient="portrait"/>
          <w:cols w:equalWidth="0" w:num="2">
            <w:col w:w="7060" w:space="120"/>
            <w:col w:w="3940"/>
          </w:cols>
          <w:pgMar w:left="320" w:top="459" w:right="459" w:bottom="1440" w:gutter="0" w:footer="0" w:header="0"/>
          <w:type w:val="continuous"/>
        </w:sectPr>
      </w:pPr>
    </w:p>
    <w:p>
      <w:pPr>
        <w:jc w:val="center"/>
        <w:ind w:right="-35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120"/>
          </w:cols>
          <w:pgMar w:left="320" w:top="459" w:right="45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5" w:lineRule="exact"/>
        <w:rPr>
          <w:sz w:val="20"/>
          <w:szCs w:val="20"/>
          <w:color w:val="auto"/>
        </w:rPr>
      </w:pPr>
    </w:p>
    <w:p>
      <w:pPr>
        <w:jc w:val="right"/>
        <w:ind w:right="1680"/>
        <w:spacing w:after="0"/>
        <w:tabs>
          <w:tab w:leader="none" w:pos="56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On a show of hands, special resolutions require the</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affirmative vote of not less than 75% of the votes cast</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by shareholders present, in person or by proxy, at the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meeting. If a poll is demanded, a special resolution is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passed if it is approved by holders representing not</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less than 75% of the total voting rights of shareholders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present in person or by proxy who, being entitled to</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vote, vote on the resolution.</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Shareholder Vote on Certain</w:t>
      </w:r>
      <w:r>
        <w:rPr>
          <w:sz w:val="20"/>
          <w:szCs w:val="20"/>
          <w:color w:val="auto"/>
        </w:rPr>
        <w:tab/>
      </w:r>
      <w:r>
        <w:rPr>
          <w:rFonts w:ascii="Arial" w:cs="Arial" w:eastAsia="Arial" w:hAnsi="Arial"/>
          <w:sz w:val="16"/>
          <w:szCs w:val="16"/>
          <w:color w:val="auto"/>
        </w:rPr>
        <w:t>The Companies Act provides for schemes of</w:t>
      </w:r>
    </w:p>
    <w:p>
      <w:pPr>
        <w:spacing w:after="0" w:line="2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6"/>
          <w:szCs w:val="16"/>
          <w:b w:val="1"/>
          <w:bCs w:val="1"/>
          <w:i w:val="1"/>
          <w:iCs w:val="1"/>
          <w:color w:val="auto"/>
        </w:rPr>
        <w:t>Transactions</w:t>
      </w:r>
      <w:r>
        <w:rPr>
          <w:sz w:val="20"/>
          <w:szCs w:val="20"/>
          <w:color w:val="auto"/>
        </w:rPr>
        <w:tab/>
      </w:r>
      <w:r>
        <w:rPr>
          <w:rFonts w:ascii="Arial" w:cs="Arial" w:eastAsia="Arial" w:hAnsi="Arial"/>
          <w:sz w:val="16"/>
          <w:szCs w:val="16"/>
          <w:color w:val="auto"/>
        </w:rPr>
        <w:t>arrangement, which are arrangements or compromises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between a company and any class of shareholders or</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creditors and used in certain types of reconstructions,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amalgamations, capital reorganizations, or takeovers.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These arrangements require:</w:t>
      </w:r>
    </w:p>
    <w:p>
      <w:pPr>
        <w:spacing w:after="0" w:line="116"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•  the approval at a shareholders’ or creditors’</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convened by order of the court, of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majority in number of shareholders 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creditors or a class thereof representing 75%</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 value of the capital held by, or debt owed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the class of shareholders or creditors,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class thereof, respectively, present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voting, either in person or by proxy; and</w:t>
      </w:r>
    </w:p>
    <w:p>
      <w:pPr>
        <w:spacing w:after="0" w:line="1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•  the approval of the court.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•  the approval of the board of directors; and</w:t>
      </w:r>
    </w:p>
    <w:p>
      <w:pPr>
        <w:spacing w:after="0" w:line="142" w:lineRule="exact"/>
        <w:rPr>
          <w:sz w:val="20"/>
          <w:szCs w:val="20"/>
          <w:color w:val="auto"/>
        </w:rPr>
      </w:pPr>
    </w:p>
    <w:p>
      <w:pPr>
        <w:ind w:left="720" w:right="40" w:hanging="269"/>
        <w:spacing w:after="0" w:line="254" w:lineRule="auto"/>
        <w:rPr>
          <w:sz w:val="20"/>
          <w:szCs w:val="20"/>
          <w:color w:val="auto"/>
        </w:rPr>
      </w:pPr>
      <w:r>
        <w:rPr>
          <w:rFonts w:ascii="Arial" w:cs="Arial" w:eastAsia="Arial" w:hAnsi="Arial"/>
          <w:sz w:val="18"/>
          <w:szCs w:val="18"/>
          <w:color w:val="auto"/>
        </w:rPr>
        <w:t>•  approval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16" w:lineRule="exact"/>
        <w:rPr>
          <w:sz w:val="20"/>
          <w:szCs w:val="20"/>
          <w:color w:val="auto"/>
        </w:rPr>
      </w:pPr>
    </w:p>
    <w:p>
      <w:pPr>
        <w:sectPr>
          <w:pgSz w:w="11900" w:h="16838" w:orient="portrait"/>
          <w:cols w:equalWidth="0" w:num="2">
            <w:col w:w="7040" w:space="140"/>
            <w:col w:w="3940"/>
          </w:cols>
          <w:pgMar w:left="320" w:top="459" w:right="459" w:bottom="1440" w:gutter="0" w:footer="0" w:header="0"/>
          <w:type w:val="continuous"/>
        </w:sectPr>
      </w:pPr>
    </w:p>
    <w:p>
      <w:pPr>
        <w:ind w:left="3120" w:hanging="2996"/>
        <w:spacing w:after="0" w:line="263" w:lineRule="auto"/>
        <w:tabs>
          <w:tab w:leader="none" w:pos="3100" w:val="left"/>
        </w:tabs>
        <w:rPr>
          <w:sz w:val="20"/>
          <w:szCs w:val="20"/>
          <w:color w:val="auto"/>
        </w:rPr>
      </w:pPr>
      <w:r>
        <w:rPr>
          <w:rFonts w:ascii="Arial" w:cs="Arial" w:eastAsia="Arial" w:hAnsi="Arial"/>
          <w:sz w:val="18"/>
          <w:szCs w:val="18"/>
          <w:b w:val="1"/>
          <w:bCs w:val="1"/>
          <w:i w:val="1"/>
          <w:iCs w:val="1"/>
          <w:color w:val="auto"/>
        </w:rPr>
        <w:t>Standard of Conduct for Directors</w:t>
      </w:r>
      <w:r>
        <w:rPr>
          <w:sz w:val="20"/>
          <w:szCs w:val="20"/>
          <w:color w:val="auto"/>
        </w:rPr>
        <w:tab/>
      </w:r>
      <w:r>
        <w:rPr>
          <w:rFonts w:ascii="Arial" w:cs="Arial" w:eastAsia="Arial" w:hAnsi="Arial"/>
          <w:sz w:val="18"/>
          <w:szCs w:val="18"/>
          <w:color w:val="auto"/>
        </w:rPr>
        <w:t>Under the laws of England and Wales, a director owes various statutory and fiduciary duties to a company, including:</w:t>
      </w:r>
    </w:p>
    <w:p>
      <w:pPr>
        <w:spacing w:after="0" w:line="89" w:lineRule="exact"/>
        <w:rPr>
          <w:sz w:val="20"/>
          <w:szCs w:val="20"/>
          <w:color w:val="auto"/>
        </w:rPr>
      </w:pPr>
    </w:p>
    <w:p>
      <w:pPr>
        <w:ind w:left="3480" w:hanging="269"/>
        <w:spacing w:after="0" w:line="284" w:lineRule="auto"/>
        <w:rPr>
          <w:sz w:val="20"/>
          <w:szCs w:val="20"/>
          <w:color w:val="auto"/>
        </w:rPr>
      </w:pPr>
      <w:r>
        <w:rPr>
          <w:rFonts w:ascii="Arial" w:cs="Arial" w:eastAsia="Arial" w:hAnsi="Arial"/>
          <w:sz w:val="16"/>
          <w:szCs w:val="16"/>
          <w:color w:val="auto"/>
        </w:rPr>
        <w:t>•  to act in the way he or she considers, in good faith, would be most likely to promote the success of the company for the benefit of its members as a whole, and in doing so have regard (amongst other matters) to: (a) the likely consequences of any decision in the long-term,</w:t>
      </w:r>
    </w:p>
    <w:p>
      <w:pPr>
        <w:spacing w:after="0" w:line="4"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(b) the interests of the company’s employees,</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(c) the need to foster the company’s business</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relationships with suppliers, customers and</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others, (d) the impact of the company’s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operations on the community and the</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environment, (e) the desirability to</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w:t>
      </w:r>
    </w:p>
    <w:p>
      <w:pPr>
        <w:sectPr>
          <w:pgSz w:w="11900" w:h="16838" w:orient="portrait"/>
          <w:cols w:equalWidth="0" w:num="2">
            <w:col w:w="7020" w:space="160"/>
            <w:col w:w="3940"/>
          </w:cols>
          <w:pgMar w:left="320" w:top="459" w:right="45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ectPr>
          <w:pgSz w:w="11900" w:h="16838" w:orient="portrait"/>
          <w:cols w:equalWidth="0" w:num="1">
            <w:col w:w="11120"/>
          </w:cols>
          <w:pgMar w:left="320" w:top="459" w:right="459" w:bottom="1440" w:gutter="0" w:footer="0" w:header="0"/>
        </w:sectPr>
      </w:pPr>
    </w:p>
    <w:p>
      <w:pPr>
        <w:spacing w:after="0" w:line="13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England and Wales</w:t>
      </w:r>
    </w:p>
    <w:p>
      <w:pPr>
        <w:spacing w:after="0" w:line="12" w:lineRule="exact"/>
        <w:rPr>
          <w:sz w:val="20"/>
          <w:szCs w:val="20"/>
          <w:color w:val="auto"/>
        </w:rPr>
      </w:pPr>
    </w:p>
    <w:p>
      <w:pPr>
        <w:ind w:left="3120" w:right="200"/>
        <w:spacing w:after="0" w:line="254" w:lineRule="auto"/>
        <w:rPr>
          <w:sz w:val="20"/>
          <w:szCs w:val="20"/>
          <w:color w:val="auto"/>
        </w:rPr>
      </w:pPr>
      <w:r>
        <w:rPr>
          <w:rFonts w:ascii="Arial" w:cs="Arial" w:eastAsia="Arial" w:hAnsi="Arial"/>
          <w:sz w:val="18"/>
          <w:szCs w:val="18"/>
          <w:color w:val="auto"/>
        </w:rPr>
        <w:t>maintain a reputation for high standards of business conduct, and (f) the need to act fairly as between members of the company;</w:t>
      </w:r>
    </w:p>
    <w:p>
      <w:pPr>
        <w:spacing w:after="0" w:line="96" w:lineRule="exact"/>
        <w:rPr>
          <w:sz w:val="20"/>
          <w:szCs w:val="20"/>
          <w:color w:val="auto"/>
        </w:rPr>
      </w:pPr>
    </w:p>
    <w:p>
      <w:pPr>
        <w:ind w:left="3480" w:right="20" w:hanging="269"/>
        <w:spacing w:after="0" w:line="259" w:lineRule="auto"/>
        <w:rPr>
          <w:sz w:val="20"/>
          <w:szCs w:val="20"/>
          <w:color w:val="auto"/>
        </w:rPr>
      </w:pPr>
      <w:r>
        <w:rPr>
          <w:rFonts w:ascii="Arial" w:cs="Arial" w:eastAsia="Arial" w:hAnsi="Arial"/>
          <w:sz w:val="18"/>
          <w:szCs w:val="18"/>
          <w:color w:val="auto"/>
        </w:rPr>
        <w:t>•  to avoid a situation in which he or she has, or can have, a direct or indirect interest that conflicts, or possibly conflicts, with the interests of the company;</w:t>
      </w:r>
    </w:p>
    <w:p>
      <w:pPr>
        <w:spacing w:after="0" w:line="92" w:lineRule="exact"/>
        <w:rPr>
          <w:sz w:val="20"/>
          <w:szCs w:val="20"/>
          <w:color w:val="auto"/>
        </w:rPr>
      </w:pPr>
    </w:p>
    <w:p>
      <w:pPr>
        <w:ind w:left="3480" w:right="120" w:hanging="269"/>
        <w:spacing w:after="0" w:line="263" w:lineRule="auto"/>
        <w:rPr>
          <w:sz w:val="20"/>
          <w:szCs w:val="20"/>
          <w:color w:val="auto"/>
        </w:rPr>
      </w:pPr>
      <w:r>
        <w:rPr>
          <w:rFonts w:ascii="Arial" w:cs="Arial" w:eastAsia="Arial" w:hAnsi="Arial"/>
          <w:sz w:val="18"/>
          <w:szCs w:val="18"/>
          <w:color w:val="auto"/>
        </w:rPr>
        <w:t>•  to act in accordance with our constitution and only exercise his or her powers for the purposes for which they are conferred;</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•  to exercise independent judgment;</w:t>
      </w:r>
    </w:p>
    <w:p>
      <w:pPr>
        <w:spacing w:after="0" w:line="13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•  to exercise reasonable care, skill, and diligence;</w:t>
      </w:r>
    </w:p>
    <w:p>
      <w:pPr>
        <w:spacing w:after="0" w:line="154" w:lineRule="exact"/>
        <w:rPr>
          <w:sz w:val="20"/>
          <w:szCs w:val="20"/>
          <w:color w:val="auto"/>
        </w:rPr>
      </w:pPr>
    </w:p>
    <w:p>
      <w:pPr>
        <w:jc w:val="both"/>
        <w:ind w:left="3480" w:hanging="269"/>
        <w:spacing w:after="0" w:line="311" w:lineRule="auto"/>
        <w:rPr>
          <w:sz w:val="20"/>
          <w:szCs w:val="20"/>
          <w:color w:val="auto"/>
        </w:rPr>
      </w:pPr>
      <w:r>
        <w:rPr>
          <w:rFonts w:ascii="Arial" w:cs="Arial" w:eastAsia="Arial" w:hAnsi="Arial"/>
          <w:sz w:val="16"/>
          <w:szCs w:val="16"/>
          <w:color w:val="auto"/>
        </w:rPr>
        <w:t>•  not to accept benefits from a third party conferred by reason of his or her being a director or doing, or not doing, anything as a director; and</w:t>
      </w:r>
    </w:p>
    <w:p>
      <w:pPr>
        <w:spacing w:after="0" w:line="54" w:lineRule="exact"/>
        <w:rPr>
          <w:sz w:val="20"/>
          <w:szCs w:val="20"/>
          <w:color w:val="auto"/>
        </w:rPr>
      </w:pPr>
    </w:p>
    <w:p>
      <w:pPr>
        <w:ind w:left="3480" w:right="160" w:hanging="269"/>
        <w:spacing w:after="0" w:line="259" w:lineRule="auto"/>
        <w:rPr>
          <w:sz w:val="20"/>
          <w:szCs w:val="20"/>
          <w:color w:val="auto"/>
        </w:rPr>
      </w:pPr>
      <w:r>
        <w:rPr>
          <w:rFonts w:ascii="Arial" w:cs="Arial" w:eastAsia="Arial" w:hAnsi="Arial"/>
          <w:sz w:val="18"/>
          <w:szCs w:val="18"/>
          <w:color w:val="auto"/>
        </w:rPr>
        <w:t>•  a duty to declare any interest that he or she has, whether directly or indirectly, in a proposed or existing transaction or arrangement with the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12" w:lineRule="exact"/>
        <w:rPr>
          <w:sz w:val="20"/>
          <w:szCs w:val="20"/>
          <w:color w:val="auto"/>
        </w:rPr>
      </w:pPr>
    </w:p>
    <w:p>
      <w:pPr>
        <w:jc w:val="both"/>
        <w:ind w:right="720"/>
        <w:spacing w:after="0" w:line="254" w:lineRule="auto"/>
        <w:rPr>
          <w:sz w:val="20"/>
          <w:szCs w:val="20"/>
          <w:color w:val="auto"/>
        </w:rPr>
      </w:pPr>
      <w:r>
        <w:rPr>
          <w:rFonts w:ascii="Arial" w:cs="Arial" w:eastAsia="Arial" w:hAnsi="Arial"/>
          <w:sz w:val="18"/>
          <w:szCs w:val="18"/>
          <w:color w:val="auto"/>
        </w:rPr>
        <w:t>himself or herself of all material information reasonably available regarding a significant transaction.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83" w:lineRule="exact"/>
        <w:rPr>
          <w:sz w:val="20"/>
          <w:szCs w:val="20"/>
          <w:color w:val="auto"/>
        </w:rPr>
      </w:pPr>
    </w:p>
    <w:p>
      <w:pPr>
        <w:sectPr>
          <w:pgSz w:w="11900" w:h="16838" w:orient="portrait"/>
          <w:cols w:equalWidth="0" w:num="2">
            <w:col w:w="7040" w:space="140"/>
            <w:col w:w="3940"/>
          </w:cols>
          <w:pgMar w:left="320" w:top="459" w:right="459" w:bottom="1440" w:gutter="0" w:footer="0" w:header="0"/>
          <w:type w:val="continuous"/>
        </w:sect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Shareholder Litigation</w:t>
      </w:r>
      <w:r>
        <w:rPr>
          <w:sz w:val="20"/>
          <w:szCs w:val="20"/>
          <w:color w:val="auto"/>
        </w:rPr>
        <w:tab/>
      </w:r>
      <w:r>
        <w:rPr>
          <w:rFonts w:ascii="Arial" w:cs="Arial" w:eastAsia="Arial" w:hAnsi="Arial"/>
          <w:sz w:val="16"/>
          <w:szCs w:val="16"/>
          <w:color w:val="auto"/>
        </w:rPr>
        <w:t>Under the laws of England and Wales, generally, the</w:t>
      </w:r>
    </w:p>
    <w:p>
      <w:pPr>
        <w:spacing w:after="0" w:line="23" w:lineRule="exact"/>
        <w:rPr>
          <w:sz w:val="20"/>
          <w:szCs w:val="20"/>
          <w:color w:val="auto"/>
        </w:rPr>
      </w:pPr>
    </w:p>
    <w:p>
      <w:pPr>
        <w:ind w:left="3120" w:right="20"/>
        <w:spacing w:after="0" w:line="273" w:lineRule="auto"/>
        <w:rPr>
          <w:sz w:val="20"/>
          <w:szCs w:val="20"/>
          <w:color w:val="auto"/>
        </w:rPr>
      </w:pPr>
      <w:r>
        <w:rPr>
          <w:rFonts w:ascii="Arial" w:cs="Arial" w:eastAsia="Arial" w:hAnsi="Arial"/>
          <w:sz w:val="17"/>
          <w:szCs w:val="17"/>
          <w:color w:val="auto"/>
        </w:rPr>
        <w:t>company, rather than its shareholders, is the proper claimant in an action in respect of a wrong done to the company or where there is an irregularity in the company’s internal management.</w:t>
      </w:r>
    </w:p>
    <w:p>
      <w:pPr>
        <w:spacing w:after="0" w:line="82" w:lineRule="exact"/>
        <w:rPr>
          <w:sz w:val="20"/>
          <w:szCs w:val="20"/>
          <w:color w:val="auto"/>
        </w:rPr>
      </w:pPr>
    </w:p>
    <w:p>
      <w:pPr>
        <w:ind w:left="3120"/>
        <w:spacing w:after="0" w:line="269" w:lineRule="auto"/>
        <w:rPr>
          <w:sz w:val="20"/>
          <w:szCs w:val="20"/>
          <w:color w:val="auto"/>
        </w:rPr>
      </w:pPr>
      <w:r>
        <w:rPr>
          <w:rFonts w:ascii="Arial" w:cs="Arial" w:eastAsia="Arial" w:hAnsi="Arial"/>
          <w:sz w:val="17"/>
          <w:szCs w:val="17"/>
          <w:color w:val="auto"/>
        </w:rPr>
        <w:t>Notwithstanding this general position, the Companies Act provides that (a) a court may allow a shareholder to bring a derivative claim (that is, an action in respect of and on behalf of the company) in respect of a cause of action arising from a director’s negligence, default, breach of duty or breach of trust; and (b) 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92" w:lineRule="exact"/>
        <w:rPr>
          <w:sz w:val="20"/>
          <w:szCs w:val="20"/>
          <w:color w:val="auto"/>
        </w:rPr>
      </w:pPr>
    </w:p>
    <w:p>
      <w:pPr>
        <w:ind w:left="360" w:hanging="269"/>
        <w:spacing w:after="0" w:line="301" w:lineRule="auto"/>
        <w:rPr>
          <w:sz w:val="20"/>
          <w:szCs w:val="20"/>
          <w:color w:val="auto"/>
        </w:rPr>
      </w:pPr>
      <w:r>
        <w:rPr>
          <w:rFonts w:ascii="Arial" w:cs="Arial" w:eastAsia="Arial" w:hAnsi="Arial"/>
          <w:sz w:val="16"/>
          <w:szCs w:val="16"/>
          <w:color w:val="auto"/>
        </w:rPr>
        <w:t>•  state that the plaintiff was a stockholder at the time of the transaction of which the plaintiff complains or that the plaintiff’s shares thereafter devolved on the plaintiff by operation of law; and</w:t>
      </w:r>
    </w:p>
    <w:p>
      <w:pPr>
        <w:spacing w:after="0" w:line="63" w:lineRule="exact"/>
        <w:rPr>
          <w:sz w:val="20"/>
          <w:szCs w:val="20"/>
          <w:color w:val="auto"/>
        </w:rPr>
      </w:pPr>
    </w:p>
    <w:p>
      <w:pPr>
        <w:ind w:left="360" w:right="140" w:hanging="269"/>
        <w:spacing w:after="0" w:line="279" w:lineRule="auto"/>
        <w:rPr>
          <w:sz w:val="20"/>
          <w:szCs w:val="20"/>
          <w:color w:val="auto"/>
        </w:rPr>
      </w:pPr>
      <w:r>
        <w:rPr>
          <w:rFonts w:ascii="Arial" w:cs="Arial" w:eastAsia="Arial" w:hAnsi="Arial"/>
          <w:sz w:val="17"/>
          <w:szCs w:val="17"/>
          <w:color w:val="auto"/>
        </w:rPr>
        <w:t>•  allege with particularity the efforts made by the plaintiff to obtain the action the plaintiff desires from the directors and the reasons for the plaintiff’s failure to obtain the action; or</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•  state the reasons for not making the effort.</w:t>
      </w:r>
    </w:p>
    <w:p>
      <w:pPr>
        <w:spacing w:after="0" w:line="13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040" w:space="140"/>
            <w:col w:w="3940"/>
          </w:cols>
          <w:pgMar w:left="320" w:top="459" w:right="45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The depositary typically appoints a custodian to safe keep the securities on deposit. In this case, the custodian is Citibank, N.A., London Branch, located at 25 Canada Square, Canary Wharf, London, E14 5LB, United Kingdom.</w:t>
      </w:r>
    </w:p>
    <w:p>
      <w:pPr>
        <w:spacing w:after="0" w:line="15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will be on file with the SEC under cover of a registration statement on Form F-6. You may obtain an electronic copy of the deposit agreement from the SEC’s website (www.sec.gov).</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of the U.S.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The manner in which you own the ADSs (e.g., in a brokerage account vs. as registered holder, or as holder of certificated vs. uncertificated ADSs) may affect your rights and obligations, and the manner in which, and the extent to which, the depositary’s services are made available to you.</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U.S.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4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rights to you if:</w:t>
      </w:r>
    </w:p>
    <w:p>
      <w:pPr>
        <w:spacing w:after="0" w:line="131"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elective distribution to be made available to you. In such case, we will assist the depositary in determining whether such distribution is lawful and reasonably practicable.</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pay such taxes and governmental charges, the depositary may sell all or a portion of the property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you and will sell the property if:</w:t>
      </w:r>
    </w:p>
    <w:p>
      <w:pPr>
        <w:spacing w:after="0" w:line="131"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custodian will be instructed to surrender the ordinary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subdivision, cancellation, consolidation or any other reclassification of such ordinary shares or a recapitalization, reorganization, merger, consolidation or sale of assets of the Company.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Upon completion of this offering, the ordinary shares being offered pursuant to this prospectus will be deposited by the selling shareholder with the custodian. Upon receipt of confirmation of such deposit, the depositary will issue ADSs to the underwriters named in this prospectus.</w:t>
      </w:r>
    </w:p>
    <w:p>
      <w:pPr>
        <w:spacing w:after="0" w:line="12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After the closing of this offering,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U.S. and in England and Wales applicable at the time of deposit.</w:t>
      </w:r>
    </w:p>
    <w:p>
      <w:pPr>
        <w:spacing w:after="0" w:line="18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4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76"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deposit of shares does not violate any applicable provision of English law.</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U.S.; and</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right="5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ADSs.</w:t>
      </w:r>
    </w:p>
    <w:p>
      <w:pPr>
        <w:spacing w:after="0" w:line="170"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U.S. and in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92"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131" w:lineRule="exact"/>
        <w:rPr>
          <w:sz w:val="20"/>
          <w:szCs w:val="20"/>
          <w:color w:val="auto"/>
        </w:rPr>
      </w:pPr>
    </w:p>
    <w:p>
      <w:pPr>
        <w:ind w:left="1080" w:right="5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and/or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ordinary shares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Articles of Association” in this prospectus.</w:t>
      </w:r>
    </w:p>
    <w:p>
      <w:pPr>
        <w:spacing w:after="0" w:line="184"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At our request, the depositary will distribute to you any notice of shareholders’ meeting received from us together with information explaining how to instruct the depositary to exercise the voting rights of the ordinary shares represented by ADSs. In lieu of distributing such materials, the depositary may distribute to holders of ADSs instructions on how to retrieve such materials upon request.</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If the depositary timely receives voting instructions from a holder of ADSs, it will endeavor to vote (or cause the custodian to vote) the securities (in person or by proxy) represented by the holder’s ADSs in accordance with the voting instructions received from such holder.</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Fee</w:t>
            </w:r>
          </w:p>
        </w:tc>
        <w:tc>
          <w:tcPr>
            <w:tcW w:w="76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color w:val="auto"/>
                <w:w w:val="91"/>
              </w:rPr>
              <w:t>Issuance of ADSs (</w:t>
            </w:r>
            <w:r>
              <w:rPr>
                <w:rFonts w:ascii="Arial" w:cs="Arial" w:eastAsia="Arial" w:hAnsi="Arial"/>
                <w:sz w:val="18"/>
                <w:szCs w:val="18"/>
                <w:i w:val="1"/>
                <w:iCs w:val="1"/>
                <w:color w:val="auto"/>
                <w:w w:val="91"/>
              </w:rPr>
              <w:t>e.g.</w:t>
            </w:r>
            <w:r>
              <w:rPr>
                <w:rFonts w:ascii="Arial" w:cs="Arial" w:eastAsia="Arial" w:hAnsi="Arial"/>
                <w:sz w:val="18"/>
                <w:szCs w:val="18"/>
                <w:color w:val="auto"/>
                <w:w w:val="91"/>
              </w:rPr>
              <w:t>, an issuance of ADS upon a deposit of ordinary shares</w:t>
            </w:r>
          </w:p>
        </w:tc>
        <w:tc>
          <w:tcPr>
            <w:tcW w:w="12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w w:val="86"/>
              </w:rPr>
              <w:t>Up</w:t>
            </w:r>
          </w:p>
        </w:tc>
        <w:tc>
          <w:tcPr>
            <w:tcW w:w="760" w:type="dxa"/>
            <w:vAlign w:val="bottom"/>
          </w:tcPr>
          <w:p>
            <w:pPr>
              <w:ind w:left="40"/>
              <w:spacing w:after="0" w:line="195" w:lineRule="exact"/>
              <w:rPr>
                <w:sz w:val="20"/>
                <w:szCs w:val="20"/>
                <w:color w:val="auto"/>
              </w:rPr>
            </w:pPr>
            <w:r>
              <w:rPr>
                <w:rFonts w:ascii="Arial" w:cs="Arial" w:eastAsia="Arial" w:hAnsi="Arial"/>
                <w:sz w:val="18"/>
                <w:szCs w:val="18"/>
                <w:color w:val="auto"/>
              </w:rPr>
              <w:t>to U.S.</w:t>
            </w:r>
          </w:p>
        </w:tc>
        <w:tc>
          <w:tcPr>
            <w:tcW w:w="3640" w:type="dxa"/>
            <w:vAlign w:val="bottom"/>
          </w:tcPr>
          <w:p>
            <w:pPr>
              <w:ind w:left="200"/>
              <w:spacing w:after="0" w:line="195" w:lineRule="exact"/>
              <w:rPr>
                <w:sz w:val="20"/>
                <w:szCs w:val="20"/>
                <w:color w:val="auto"/>
              </w:rPr>
            </w:pPr>
            <w:r>
              <w:rPr>
                <w:rFonts w:ascii="Arial" w:cs="Arial" w:eastAsia="Arial" w:hAnsi="Arial"/>
                <w:sz w:val="18"/>
                <w:szCs w:val="18"/>
                <w:color w:val="auto"/>
              </w:rPr>
              <w:t>¢ per ADS issued.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9"/>
              </w:rPr>
              <w:t>or upon a change in the ADS(s)-to-ordinary shares ratio or for any 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9"/>
              </w:rPr>
              <w:t>reason), excluding ADS issuances as a result of distributions of ordinary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5"/>
              </w:rPr>
              <w:t>Cancellation of ADSs (</w:t>
            </w:r>
            <w:r>
              <w:rPr>
                <w:rFonts w:ascii="Arial" w:cs="Arial" w:eastAsia="Arial" w:hAnsi="Arial"/>
                <w:sz w:val="18"/>
                <w:szCs w:val="18"/>
                <w:i w:val="1"/>
                <w:iCs w:val="1"/>
                <w:color w:val="auto"/>
                <w:w w:val="95"/>
              </w:rPr>
              <w:t>e.g.</w:t>
            </w:r>
            <w:r>
              <w:rPr>
                <w:rFonts w:ascii="Arial" w:cs="Arial" w:eastAsia="Arial" w:hAnsi="Arial"/>
                <w:sz w:val="18"/>
                <w:szCs w:val="18"/>
                <w:color w:val="auto"/>
                <w:w w:val="95"/>
              </w:rPr>
              <w:t>, a cancellation of ADSs for delivery of deposited</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cancelled.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4"/>
              </w:rPr>
              <w:t>property or upon a change in the ADS(s)-to-ordinary shares ratio, or for any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other reason)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3"/>
              </w:rPr>
              <w:t>Distribution of cash dividends or other cash distributions (</w:t>
            </w:r>
            <w:r>
              <w:rPr>
                <w:rFonts w:ascii="Arial" w:cs="Arial" w:eastAsia="Arial" w:hAnsi="Arial"/>
                <w:sz w:val="18"/>
                <w:szCs w:val="18"/>
                <w:i w:val="1"/>
                <w:iCs w:val="1"/>
                <w:color w:val="auto"/>
                <w:w w:val="93"/>
              </w:rPr>
              <w:t>e.g.</w:t>
            </w:r>
            <w:r>
              <w:rPr>
                <w:rFonts w:ascii="Arial" w:cs="Arial" w:eastAsia="Arial" w:hAnsi="Arial"/>
                <w:sz w:val="18"/>
                <w:szCs w:val="18"/>
                <w:color w:val="auto"/>
                <w:w w:val="93"/>
              </w:rPr>
              <w:t>, upon a sale of</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held.</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rights and other entitlements)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ADSs pursuant to (i) share dividends or other free share</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held.</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Distribution of securities other than ADSs or rights to purchase additional</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held.</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ADSs (</w:t>
            </w:r>
            <w:r>
              <w:rPr>
                <w:rFonts w:ascii="Arial" w:cs="Arial" w:eastAsia="Arial" w:hAnsi="Arial"/>
                <w:sz w:val="18"/>
                <w:szCs w:val="18"/>
                <w:i w:val="1"/>
                <w:iCs w:val="1"/>
                <w:color w:val="auto"/>
              </w:rPr>
              <w:t>e.g.</w:t>
            </w:r>
            <w:r>
              <w:rPr>
                <w:rFonts w:ascii="Arial" w:cs="Arial" w:eastAsia="Arial" w:hAnsi="Arial"/>
                <w:sz w:val="18"/>
                <w:szCs w:val="18"/>
                <w:color w:val="auto"/>
              </w:rPr>
              <w:t>, upon a spin-off)</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w w:val="89"/>
              </w:rPr>
              <w:t>¢ per ADS held on the applicable record date(s)</w:t>
            </w:r>
          </w:p>
        </w:tc>
      </w:tr>
      <w:tr>
        <w:trPr>
          <w:trHeight w:val="230"/>
        </w:trPr>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740" w:type="dxa"/>
            <w:vAlign w:val="bottom"/>
            <w:gridSpan w:val="4"/>
          </w:tcPr>
          <w:p>
            <w:pPr>
              <w:ind w:left="120"/>
              <w:spacing w:after="0"/>
              <w:rPr>
                <w:sz w:val="20"/>
                <w:szCs w:val="20"/>
                <w:color w:val="auto"/>
              </w:rPr>
            </w:pPr>
            <w:r>
              <w:rPr>
                <w:rFonts w:ascii="Arial" w:cs="Arial" w:eastAsia="Arial" w:hAnsi="Arial"/>
                <w:sz w:val="18"/>
                <w:szCs w:val="18"/>
                <w:color w:val="auto"/>
              </w:rPr>
              <w:t>established by the depositary.</w:t>
            </w: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9"/>
              </w:rPr>
              <w:t>Registration of ADS Transfers (</w:t>
            </w:r>
            <w:r>
              <w:rPr>
                <w:rFonts w:ascii="Arial" w:cs="Arial" w:eastAsia="Arial" w:hAnsi="Arial"/>
                <w:sz w:val="18"/>
                <w:szCs w:val="18"/>
                <w:i w:val="1"/>
                <w:iCs w:val="1"/>
                <w:color w:val="auto"/>
                <w:w w:val="99"/>
              </w:rPr>
              <w:t>e.g.</w:t>
            </w:r>
            <w:r>
              <w:rPr>
                <w:rFonts w:ascii="Arial" w:cs="Arial" w:eastAsia="Arial" w:hAnsi="Arial"/>
                <w:sz w:val="18"/>
                <w:szCs w:val="18"/>
                <w:color w:val="auto"/>
                <w:w w:val="99"/>
              </w:rPr>
              <w:t>, upon a registration of the transfer of</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(or fraction thereof) transferred.</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6"/>
              </w:rPr>
              <w:t>registered ownership of ADSs, upon a transfer of ADSs into DTC and vice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versa, or for any other reason)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10"/>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Conversion of ADSs of one series for ADSs of another series (</w:t>
            </w:r>
            <w:r>
              <w:rPr>
                <w:rFonts w:ascii="Arial" w:cs="Arial" w:eastAsia="Arial" w:hAnsi="Arial"/>
                <w:sz w:val="18"/>
                <w:szCs w:val="18"/>
                <w:i w:val="1"/>
                <w:iCs w:val="1"/>
                <w:color w:val="auto"/>
                <w:w w:val="98"/>
              </w:rPr>
              <w:t>e.g.</w:t>
            </w:r>
            <w:r>
              <w:rPr>
                <w:rFonts w:ascii="Arial" w:cs="Arial" w:eastAsia="Arial" w:hAnsi="Arial"/>
                <w:sz w:val="18"/>
                <w:szCs w:val="18"/>
                <w:color w:val="auto"/>
                <w:w w:val="98"/>
              </w:rPr>
              <w:t>, upon</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Up to U.S.</w:t>
            </w:r>
          </w:p>
        </w:tc>
        <w:tc>
          <w:tcPr>
            <w:tcW w:w="3640" w:type="dxa"/>
            <w:vAlign w:val="bottom"/>
          </w:tcPr>
          <w:p>
            <w:pPr>
              <w:ind w:left="200"/>
              <w:spacing w:after="0"/>
              <w:rPr>
                <w:sz w:val="20"/>
                <w:szCs w:val="20"/>
                <w:color w:val="auto"/>
              </w:rPr>
            </w:pPr>
            <w:r>
              <w:rPr>
                <w:rFonts w:ascii="Arial" w:cs="Arial" w:eastAsia="Arial" w:hAnsi="Arial"/>
                <w:sz w:val="18"/>
                <w:szCs w:val="18"/>
                <w:color w:val="auto"/>
              </w:rPr>
              <w:t>¢ per ADS (or fraction thereof) converted.</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w w:val="97"/>
              </w:rPr>
              <w:t>conversion of Partial Entitlement ADSs for Full Entitlement ADSs, or upon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ind w:left="120"/>
        <w:spacing w:after="0"/>
        <w:rPr>
          <w:sz w:val="20"/>
          <w:szCs w:val="20"/>
          <w:color w:val="auto"/>
        </w:rPr>
      </w:pPr>
      <w:r>
        <w:rPr>
          <w:rFonts w:ascii="Arial" w:cs="Arial" w:eastAsia="Arial" w:hAnsi="Arial"/>
          <w:sz w:val="18"/>
          <w:szCs w:val="18"/>
          <w:color w:val="auto"/>
        </w:rPr>
        <w:t>conversion of Restricted ADSs (each as defined in the deposit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into freely transferable ADSs, and vice versa)</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320" w:top="459" w:right="5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register of members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reasonable and customary fees and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servicing of the ADR program.</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payable upon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80" w:hanging="4"/>
        <w:spacing w:after="0" w:line="255"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ADS program established by the depositary, upon such terms and conditions as the depositary may deem reasonably appropriate, subject however, in each case, to satisfaction of the applicable registration requirements by the unsponsored ADS program under the Securities Act, and to receipt by the depositary of payment of the applicable fees and charges of, and reimbursement of the applicable expenses incurred by, the depositary.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31"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1080" w:hanging="424"/>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51" w:lineRule="exact"/>
        <w:rPr>
          <w:rFonts w:ascii="Arial" w:cs="Arial" w:eastAsia="Arial" w:hAnsi="Arial"/>
          <w:sz w:val="17"/>
          <w:szCs w:val="17"/>
          <w:color w:val="auto"/>
        </w:rPr>
      </w:pPr>
    </w:p>
    <w:p>
      <w:pPr>
        <w:ind w:left="1080" w:right="120" w:hanging="424"/>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1080" w:right="200" w:hanging="424"/>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75" w:lineRule="exact"/>
        <w:rPr>
          <w:rFonts w:ascii="Arial" w:cs="Arial" w:eastAsia="Arial" w:hAnsi="Arial"/>
          <w:sz w:val="18"/>
          <w:szCs w:val="18"/>
          <w:color w:val="auto"/>
        </w:rPr>
      </w:pPr>
    </w:p>
    <w:p>
      <w:pPr>
        <w:jc w:val="both"/>
        <w:ind w:left="1080" w:right="140" w:hanging="424"/>
        <w:spacing w:after="0" w:line="286"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260" w:hanging="424"/>
        <w:spacing w:after="0" w:line="34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As the above limitations relate to our obligations and the depositary’s obligations to you under the deposit agreement, we believe that, as a matter of construction of the deposit agreement, such limitations would likely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6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ADRs and the ordinary shares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80" w:right="14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is governed by the laws of England and Wales.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THE ADRs AND ADSs AGAINST US AND/OR THE DEPOSITARY.</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i w:val="1"/>
          <w:iCs w:val="1"/>
          <w:color w:val="auto"/>
        </w:rPr>
        <w:t>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ADSs on the Nasdaq Global Select Market under the symbol “ARM”.</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880"/>
          </w:cols>
          <w:pgMar w:left="320" w:top="459" w:right="69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this offering, there has been no public market for our ordinary shares or ADSs.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Future sales of ordinary shares and ADSs in the public market after this offering, and the availability of ordinary shares and ADSs for future sale, could adversely affect the market price of the ordinary shares and ADSs prevailing from time to time. As described below, a significant number of currently outstanding ordinary shares will not be available for sale shortly after this offering due to contractual restrictions on transfers. There may be sales of substantial amounts of our ADSs in the public market after such restrictions lapse. Sales of substantial amounts of our ADSs, or the perception that these sales could occur, could adversely affect prevailing market prices for our ADSs and could impair our ability to raise equity capital in the future.</w:t>
      </w:r>
    </w:p>
    <w:p>
      <w:pPr>
        <w:spacing w:after="0" w:line="192"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Based on the number of ordinary shares outstanding as of , 2023, we will have outstanding an aggregate of ordinary shares, including ordinary shares represented by ADSs, following this offering. All of the ADSs to be sold in this offering will be freely tradable in the U.S. public market without restriction or further registration under the Securities Act, unless the ADSs are held by any of our “affiliates” as such term is defined in Rule 144 of the Securities Act, subject, in each case, to the terms of the lock-up agreements referred to below or the resale restrictions provided for in Rule 144 of the Securities Act, as applicable. The number of ADSs available for sale immediately after this offering will be the number</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sold in this offering less any ADSs held by our directors, officers and the selling shareholder that are subject to lock-up agreements through days after the date of this 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our directors and executive officers and the selling shareholder have agreed that, without the prior written consent of , we and they will not, subject to certain exceptions, for a period of days after the date of this prospectus, offer, pledge, sell, contract to sell, sell any option or contract to purchase, purchase any option or contract to sell, grant any option, right or warrant to purchase, lend or otherwise transfer or dispose of, directly or indirectly, any ADSs or any securities convertible into or exercisable or exchangeable for our ADSs. may release the securities subject to any of the lock-up agreements with the underwriters described above, in whole or in part at any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general, persons who have beneficially owned restricted ordinary shares for at least six months, and any affiliate of the Company who owns either restricted or unrestricted ordinary shares,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29" w:lineRule="exact"/>
        <w:rPr>
          <w:sz w:val="20"/>
          <w:szCs w:val="20"/>
          <w:color w:val="auto"/>
        </w:rPr>
      </w:pPr>
    </w:p>
    <w:p>
      <w:pPr>
        <w:ind w:left="2040" w:right="560" w:hanging="1384"/>
        <w:spacing w:after="0" w:line="291" w:lineRule="auto"/>
        <w:tabs>
          <w:tab w:leader="none" w:pos="1095" w:val="left"/>
        </w:tabs>
        <w:numPr>
          <w:ilvl w:val="0"/>
          <w:numId w:val="98"/>
        </w:numPr>
        <w:rPr>
          <w:rFonts w:ascii="Arial" w:cs="Arial" w:eastAsia="Arial" w:hAnsi="Arial"/>
          <w:sz w:val="16"/>
          <w:szCs w:val="16"/>
          <w:color w:val="auto"/>
        </w:rPr>
      </w:pPr>
      <w:r>
        <w:rPr>
          <w:rFonts w:ascii="Arial" w:cs="Arial" w:eastAsia="Arial" w:hAnsi="Arial"/>
          <w:sz w:val="16"/>
          <w:szCs w:val="16"/>
          <w:color w:val="auto"/>
        </w:rPr>
        <w:t>1% of the number of ordinary shares then outstanding, being represented by ADSs or otherwise, which will equal approximately ordinary shares immediately after the closing of this offering based on the number of ordinary shares outstanding as of</w:t>
      </w:r>
    </w:p>
    <w:p>
      <w:pPr>
        <w:ind w:left="1720" w:hanging="92"/>
        <w:spacing w:after="0"/>
        <w:tabs>
          <w:tab w:leader="none" w:pos="17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2023; or</w:t>
      </w:r>
    </w:p>
    <w:p>
      <w:pPr>
        <w:spacing w:after="0" w:line="116"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average weekly trading volume of our ADSs during the four calendar weeks preceding the filing of a notice on Form 144 with respect to that sale.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Sales under Rule 144 by our affiliates or persons selling ordinary shares on behalf of our affiliates also are subject to certain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Rule 701 generally allows a shareholder who was issued our ordinary shares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w:t>
      </w:r>
    </w:p>
    <w:p>
      <w:pPr>
        <w:spacing w:after="0" w:line="2" w:lineRule="exact"/>
        <w:rPr>
          <w:sz w:val="20"/>
          <w:szCs w:val="20"/>
          <w:color w:val="auto"/>
        </w:rPr>
      </w:pPr>
    </w:p>
    <w:p>
      <w:pPr>
        <w:ind w:left="120" w:right="220" w:hanging="4"/>
        <w:spacing w:after="0" w:line="260" w:lineRule="auto"/>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Moreover, certain Rule 701 shares are subject to lock-up agreements as described above and under the section titled “Underwriting” and will not become eligible for sale until the expiration of those agreements.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intend to file with the SEC one or more registration statements on Form S-8 under the Securities Act to register the offer and sale of our ordinary shares and ADSs reserved for issuance under our equity incentive plans. These registration statements will become effective immediately upon filing. ADSs covered by these registration statements will then be eligible for sale in the open market, subject to vesting restrictions, any applicable lock-up agreements described below and Rule 144 limitations applicable to affiliates.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Regulation S under the Securities Act (“Regulation S”) provides that ADSs and ordinary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ADSs and ordinary shares may be sold outside the U.S. without registration in the U.S. being required.</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following is a description of the material U.S. federal income tax consequences to U.S. Holders (as defined below) of owning and disposing of our ordinary shares or ADSs acquired pursuant to this offering. This discussion is not a comprehensive description of all tax considerations that may be relevant to a particular person’s decision to acquire our ordinary shares or ADSs. The discussion is based on the Code, administrative pronouncements, judicial decisions, final, temporary and proposed Treasury Regulations and the income tax treaty between the U.K. and the U.S. (the “Treaty”), all as of the date hereof, changes to any of which may affect the tax consequences described herein—possibly with retroactive effect. The following discussion is not binding on the IRS or any court. Thus, we cannot provide any assurance that the U.S. federal income tax consequences discussed below will not be challenged by the IRS or will be sustained by a court if challenged by the IRS.</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This discussion applies only to a U.S. Holder that will hold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and gift tax consequences, alternative minimum tax consequences, special accounting rules under Section 451(b) of the Code, the potential application of the Medicare contribution tax, and tax consequences applicable to U.S. Holders subject to special rules, such as:</w:t>
      </w:r>
    </w:p>
    <w:p>
      <w:pPr>
        <w:spacing w:after="0" w:line="93"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tax-exempt entities (including private foundations) or government organizations;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any employee stock option or otherwise as compensation;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w:t>
      </w:r>
    </w:p>
    <w:p>
      <w:pPr>
        <w:spacing w:after="0" w:line="131"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If you are considering the purchase of our ADSs or ordinary shares, you should consult your own tax advisors concerning the particular U.S. federal income tax consequences to you of the purchase, ownership and disposition of our ADSs or ordinary shares in light of your own particular circumstances, as well as the consequences to you arising under other U.S. federal, state and local tax laws and the laws of any other taxing jurisdiction.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is treated for U.S. federal income tax purposes as holding the ordinary shares represented by the ADS. Accordingly, no gain or loss will generally be recognized upon an exchange of ADSs for ordinary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Subject to the discussion below under “—Passive Foreign Investment Company Rules,” distributions paid on ordinary shares or ADSs, other than certain distributions of ordinary shares or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including conditions relating to holding period and the absence of certain risk reduction transactions, dividends paid to certain non-corporate U.S. Holders may be taxable at preferential rates applicable to “qualified dividend income” received from a “qualified foreign corporation.” A non-U.S. corporation will generally be considered a qualified foreign corporation (i) if it is eligible for the benefits of a comprehensive tax treaty with the U.S. which the Secretary of Treasury of the United States determines is satisfactory for purposes of these rules and which includes an exchange of information provision (which includes the Treaty) or (ii) with respect to any dividend it pays on ordinary shares or ADSs which are readily tradable on an established securities market in the U.S. Our ADSs (but not ordinary shares) will be listed on Nasdaq, which is a qualified exchange for these purposes. Consequently, if our ADSs remain listed on Nasdaq and are regularly traded, we expect to be a qualified foreign corporation for purposes of dividends paid by us constituting qualified dividend income. However, the qualified dividend income treatment will not apply if we are treated as a PFIC with respect to the U.S. Holder for our taxable year of the distribution or the preceding taxable year.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For foreign tax credit purposes, our dividends will generally be treated as passive category income.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Subject to the discussion below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Such gain or loss will generally be U.S.-source gain or loss for foreign tax credit purposes. The deductibility of capital losses is subject to limitations.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If the U.S. Holder is an accrual basis taxpayer that is not eligible to or does not elect to determine the amount realized using the spot rate on the settlement date, the U.S. Holder will recognize foreign currency gain or loss to the extent of any difference between the U.S. dollar amount realized on the date of sale or disposition and the U.S. dollar value of the currency received at the spot rate on the settlement date. Gain or loss, if any, realized by a U.S. Holder on the sale or other disposition of our ordinary shares generally will be treated as U.S. source gain or loss for U.S. foreign tax credit limitation purposes.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generally includes dividends, interest, certain gains from the sale or exchange of investment property and certain rents and royalties, and cash and cash-equivalents are generally passive assets for these purposes. In addition, for purposes of the above calculations, a non-U.S. corporation that directly or indirectly owns at least 25% by value of the shares of another corporation is treated as holding and receiving directly its proportionate share of assets and income, respectively, of such other corporation. If we are a PFIC for any taxable year during which a U.S. Holder holds our ordinary shares or ADSs, the U.S. Holder may be subject to adverse tax consequences regardless of whether we continue to qualify as a PFIC, including ineligibility for any preferential tax rates on capital gains or on actual or deemed dividends, interest charges on certain taxes treated as deferred and additional reporting requirements.</w:t>
      </w:r>
    </w:p>
    <w:p>
      <w:pPr>
        <w:spacing w:after="0" w:line="18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Based on our analysis of our activities and current estimates (and not fully audited financials) of our income and assets, we believe that we were not a PFIC for our most recently completed taxable year. However, the determination of whether we are a PFIC is a fact-intensive determination made on an annual basis by applying principles and methodologies that in some circumstances are unclear and subject to varying interpretation. For instance, for our current and future taxable years, the total value of our assets for PFIC testing purposes (including goodwill) may be determined in part by reference to the market price of our ordinary shares or ADSs from time to time, which may fluctuate considerably. If our market capitalization declines while we hold a</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substantial amount of cash and cash-equivalents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Even if we determine that we are not a PFIC for a taxable year, there can be no assurance that the IRS will agree with our conclusion and that the IRS would not successfully challenge our position. Accordingly, we cannot provide any assurances that we will not be a PFIC for the current or any future taxable year, and our U.S. counsel expresses no opinion with respect to our PFIC status.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are classified as a PFIC in any taxable year with respect to which a U.S. Holder owns our ordinary shares or ADSs, we will continue to be treated as a PFIC with respect to such U.S. Holder in all succeeding taxable years during which such U.S. Holder owns our ordinary shares or ADSs, regardless of whether we continue to meet the tests described above, unless we cease to be a PFIC and such U.S. Holder has made a “deemed sale” election under the PFIC rules. If such a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our ordinary shares or ADSs. U.S. Holders should consult their tax advisors as to the possibility and consequences of making a deemed sale election if we are a PFIC and cease to be a PFIC and such election becomes available.</w:t>
      </w:r>
    </w:p>
    <w:p>
      <w:pPr>
        <w:spacing w:after="0" w:line="18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each taxable year that we are treated as a PFIC with respect to a U.S. Holder, such U.S. Holder will be subject to special tax rules with respect to any “excess distribution” such U.S. Holder receives from us and any gain such U.S. Holder recognizes from a sale or other disposition (including a pledge) of our ordinary shares or ADSs, unless (i) such U.S. Holder makes a “qualified electing fund” election (a “QEF Election”), as discussed below, with respect to all taxable years during such U.S. Holder’s holding period in which we are a PFIC or (ii)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72"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ordinary shares or ADSs;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that year and the interest charge generally applicable to underpayments of tax will be imposed on the resulting tax attributable to each such year.</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tax liability for amounts allocated to taxable years prior to the taxable year of disposition or “excess distribution” cannot be offset by any net operating losses for such years, and gains (but not losses) realized on the sale of the ordinary shares or ADSs cannot be treated as capital gains, even if a U.S. Holder holds the ordinary shares or ADSs as capital assets.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(“lower-tier PFICs”) as if such distributions were indirectly received by, and/or dispositions were indirectly carried out by, such U.S. Holder. U.S. Holders should consult their tax advisors regarding the application of the PFIC rules to lower-tier PFICs.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do not currently expect to provide information that would allow a U.S. Holder to make a QEF Election in the event that we or any of our subsidiaries are classified as a PFIC and, therefore, U.S. Holders should assume such election will not be available if we or any of our subsidiaries are a PFIC.</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one of their principal purposes meeting this requirement will be disregarded. Our ADSs (but not ordinary shares) will be listed on Nasdaq, which is a qualified exchange for these purposes. Consequently, if our ADSs remain listed on Nasdaq and are regularly traded, we expect the mark-to-market election would be available to U.S. Holders of our ADSs if we are a PFIC. Each U.S. Holder should consult its tax advisor as to whether a mark-to-market election is available or advisable with respect to our ordinary shares or ADSs.</w:t>
      </w:r>
    </w:p>
    <w:p>
      <w:pPr>
        <w:spacing w:after="0" w:line="18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U.S.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in any year in which we are a PFIC will be treated as ordinary income, and any losses incurred on a sale or other disposition of the ordinary shares or ADSs will be treated as an ordinary loss to the extent of any net mark-to-market gains for prior years. Once made, the election cannot be revoked without the consent of the IRS unless the ordinary shares or ADSs cease to be marketable stock.</w:t>
      </w:r>
    </w:p>
    <w:p>
      <w:pPr>
        <w:spacing w:after="0" w:line="17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 mark-to-market election generally cannot be made for equity interests in any lower-tier PFICs that we own, unless shares of such lower-tier PFIC are themselves “marketable stock.”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U.S. federal income tax return. U.S. Holders should consult their tax advisors regarding the requirements of filing such information returns under these rules.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Payments of dividends and sales proceeds that are made within the U.S.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Certain U.S. Holders who are individuals (and, under U.S. Treasury Regulations, certain entities) may be required to report information relating to our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ordinary shares or ADSs and with respect to their possible obligation to file IRS Forms 926 and/or 8938.</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Taxation</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following section contains a description of certain U.K. tax consequences of the acquisition, ownership and disposal of ADSs (and/or ADRs) and ordinary shares. It is intended only as a general guide to current U.K. tax law and the published practice of HMRC (which is not a statement of law and which may not be binding on HMRC), applying as at the date of this prospectus (both of which are subject to change at any time, possibly with retrospective effect). It does not constitute legal or tax advice and does not purport to be a complete analysis of all U.K. tax considerations relating to the acquisition, ownership or disposal of ADSs (and/or ADRs) and ordinary shares, or all of the circumstances in which holders of ADSs (and/or ADRs) and ordinary shares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except as set out above under “U.S. Federal Income Taxation.”</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does not cover:</w:t>
      </w:r>
    </w:p>
    <w:p>
      <w:pPr>
        <w:spacing w:after="0" w:line="131" w:lineRule="exact"/>
        <w:rPr>
          <w:sz w:val="20"/>
          <w:szCs w:val="20"/>
          <w:color w:val="auto"/>
        </w:rPr>
      </w:pPr>
    </w:p>
    <w:p>
      <w:pPr>
        <w:ind w:left="1080" w:right="20" w:hanging="424"/>
        <w:spacing w:after="0" w:line="311"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your chargeable gains position if you are resident in the U.K. for U.K. tax purposes, you are an individual and hold the ADSs and/or ADRs for the purposes of a trade, profession or vocation that you carry on in the U.K. through a branch or agency, or you are a corporation and hold the ADSs and/or ADRs for the purposes of a trade carried on in the U.K. through a permanent establishment in the U.K.; and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your inheritance tax position if you are domiciled in the U.K. for inheritance tax purposes.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section below may not relate to certain classes of persons, such as (but not limited to):</w:t>
      </w:r>
    </w:p>
    <w:p>
      <w:pPr>
        <w:spacing w:after="0" w:line="131"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are connected with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charities or 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collective investment schemes;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schemes;</w:t>
      </w:r>
    </w:p>
    <w:p>
      <w:pPr>
        <w:spacing w:after="0" w:line="130" w:lineRule="exact"/>
        <w:rPr>
          <w:rFonts w:ascii="Arial" w:cs="Arial" w:eastAsia="Arial" w:hAnsi="Arial"/>
          <w:sz w:val="18"/>
          <w:szCs w:val="18"/>
          <w:color w:val="auto"/>
        </w:rPr>
      </w:pPr>
    </w:p>
    <w:p>
      <w:pPr>
        <w:ind w:left="5600" w:right="180" w:hanging="4944"/>
        <w:spacing w:after="0" w:line="449" w:lineRule="auto"/>
        <w:tabs>
          <w:tab w:leader="none" w:pos="10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market makers, intermediaries, brokers or dealers in securities or persons who hold ADSs and/or ADRs otherwise than as an investment; 198</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08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who have (or are deemed to have) acquired their ADSs and/or ADRs by virtue of an office or employment or who are or have been officers or employees of the Company or any of its affiliates;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individuals who are subject to U.K. taxation on a remittance basis.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Based on published HMRC guidance, we would expect that HMRC will regard a holder of ADSs as holding the beneficial interest in the underlying shares and therefore these paragraphs assume that a holder of ADSs and/or ADRs is the beneficial owner of the underlying ordinary shares and any dividends paid in respect of the underlying ordinary shares (where the dividends are regarded for U.K. purposes as that person’s own income) for U.K. direct tax purposes.</w:t>
      </w:r>
    </w:p>
    <w:p>
      <w:pPr>
        <w:spacing w:after="0" w:line="183"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b w:val="1"/>
          <w:bCs w:val="1"/>
          <w:color w:val="auto"/>
        </w:rPr>
        <w:t>THESE PARAGRAPHS ARE A SUMMARY OF CERTAIN U.K. TAX CONSIDERATIONS AND ARE INTENDED AS A GENERAL GUIDE ONLY. IT IS RECOMMENDED THAT ALL HOLDERS OF ADSs AND/OR ADRs OBTAIN ADVICE AS TO THE CONSEQUENCES OF THE ACQUISITION, OWNERSHIP AND DISPOSAL OF THE ADSs AND/OR ADRs IN THEIR OWN SPECIFIC CIRCUMSTANCES FROM THEIR OWN TAX ADVISORS. IN PARTICULAR, NON-U.K. RESIDENT OR DOMICILED PERSONS ARE ADVISED TO CONSIDER THE POTENTIAL IMPACT OF ANY RELEVANT DOUBLE TAXATION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Dividends paid by the Company in respect of our ordinary shares will not be subject to any withholding or deduction at source for or on account of U.K.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Chargeable Gains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 holder of ADSs and/or ADRs which is not resident for tax purposes in the U.K. should not normally be liable to U.K. capital gains tax or corporation tax on chargeable gains on a disposal (or deemed disposal) of ADSs and/or ADRs unless the person is carrying on (whether solely or in partnership) a trade, profession or vocation in the U.K. through a branch or agency (or, in the case of a corporate holder of ADSs and/or ADRs, through a permanent establishment) to which the ADSs and/or ADRs are attributable. However, an individual holder of ADSs and/or ADRs who has ceased to be resident for tax purposes in the U.K. for a period of less than five years and who disposes of ADSs and/or ADRs during that period may be liable on his or her return to the U.K. to U.K. tax on any capital gain realized (subject to any available exemption or relief).</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Inheritance Tax</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Subject to certain provisions relating to trusts or settlements, an ADS and/or ADR held by an individual shareholder who is domiciled in the U.S. for the purposes of the convention between the U.S. and the U.K. relating to estate and gift taxes (the “Convention”) and who is neither domiciled in the U.K. nor (where certain conditions are met) a U.K. national (as defined in the Convention), will generally not be subject to U.K. inheritance tax on the individual’s death (whether held on the date of death or gifted during the individual’s lifetime) except where the ADS and/or ADR is part of the business property of a U.K. permanent establishment of the individual or pertains to a U.K. fixed base of an individual who performs independent personal services. In a case where an ADS and/or ADR is subject both to U.K. inheritance tax and to U.S. federal gift or estate tax, the Convention generally provides for inheritance tax paid in the U.K. to be credited against federal gift or estate tax payable in the U.S., or for federal gift or estate tax paid in the U.S. to be credited against any inheritance tax payable in the U.K., based on priority rules set forth in the Convention.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The discussion below is intended as a general and non-exhaustive guide to the current U.K. stamp duty and SDRT position and applies to the holders and acquirers of ADSs and/or ADRs (representing our ordinary</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shares) wherever resident; however, it should be noted that special rules may apply to certain persons such as market makers, brokers, dealers or intermediaries, and persons connected with clearance services and depositary receipt systems. Such persons may not be liable to U.K. stamp duty or SDRT or may be so liable at a higher rate. Furthermore, such persons may, although not primarily liable for the tax, be required to notify and account for it under the Stamp Duty Reserve Tax Regulations 1986.</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Acquisitions and Subsequent Transfers of ADSs and/or ADRs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Based on HMRC’s published practice, no U.K. stamp duty will be payable on the acquisition or transfer of ADSs and/or ADRs. Furthermore, an agreement to transfer ADSs and/or ADRs will not give rise to a liability to SDRT.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Withdrawals and Subsequent Transfers of ordinary shares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transfer of ordinary shares (as opposed to ADSs and/or ADRs) will generally be subject to U.K. stamp duty (if the ordinary shares are held in certificated form) or SDRT (if the ordinary shares are held in uncertificated form), in either case at the rate of 0.5% (or potentially 1.5% in certain circumstances) of the amount or value of the consideration paid for the ordinary shares (for example in respect of transfer of ordinary shares or a redeposit of ordinary shares into the ADR program).</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Further, SDRT will generally be payable on an unconditional agreement to transfer ordinary shares in certificated form at 0.5% (or potentially 1.5% in certain circumstances) of the amount or value of the consideration for the transfer, but is repayable if, within six years of the date of the agreement, an instrument transferring the ordinary shares is executed.</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Therefore, you are strongly encouraged to hold your ADSs (representing ordinary shares) in book-entry form through the facilities of the Depositary Trust Company.</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0960"/>
          </w:cols>
          <w:pgMar w:left="320" w:top="459" w:right="61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6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94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Pursuant to 17 C.F.R. Section 200.83</w:t>
            </w: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4"/>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40" w:type="dxa"/>
            <w:vAlign w:val="bottom"/>
          </w:tcPr>
          <w:p>
            <w:pPr>
              <w:jc w:val="center"/>
              <w:ind w:left="490"/>
              <w:spacing w:after="0"/>
              <w:rPr>
                <w:sz w:val="20"/>
                <w:szCs w:val="20"/>
                <w:color w:val="auto"/>
              </w:rPr>
            </w:pPr>
            <w:r>
              <w:rPr>
                <w:rFonts w:ascii="Arial" w:cs="Arial" w:eastAsia="Arial" w:hAnsi="Arial"/>
                <w:sz w:val="18"/>
                <w:szCs w:val="18"/>
                <w:b w:val="1"/>
                <w:bCs w:val="1"/>
                <w:color w:val="auto"/>
              </w:rPr>
              <w:t>UNDERWRITING</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8800" w:type="dxa"/>
            <w:vAlign w:val="bottom"/>
            <w:gridSpan w:val="3"/>
          </w:tcPr>
          <w:p>
            <w:pPr>
              <w:ind w:left="560"/>
              <w:spacing w:after="0"/>
              <w:rPr>
                <w:sz w:val="20"/>
                <w:szCs w:val="20"/>
                <w:color w:val="auto"/>
              </w:rPr>
            </w:pPr>
            <w:r>
              <w:rPr>
                <w:rFonts w:ascii="Arial" w:cs="Arial" w:eastAsia="Arial" w:hAnsi="Arial"/>
                <w:sz w:val="18"/>
                <w:szCs w:val="18"/>
                <w:color w:val="auto"/>
                <w:w w:val="96"/>
              </w:rPr>
              <w:t>The selling shareholder is offering the ADSs described in this prospectus through a number of underwriters.</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w:t>
            </w:r>
          </w:p>
        </w:tc>
      </w:tr>
      <w:tr>
        <w:trPr>
          <w:trHeight w:val="230"/>
        </w:trPr>
        <w:tc>
          <w:tcPr>
            <w:tcW w:w="1860" w:type="dxa"/>
            <w:vAlign w:val="bottom"/>
            <w:gridSpan w:val="2"/>
          </w:tcPr>
          <w:p>
            <w:pPr>
              <w:ind w:left="1020"/>
              <w:spacing w:after="0"/>
              <w:rPr>
                <w:sz w:val="20"/>
                <w:szCs w:val="20"/>
                <w:color w:val="auto"/>
              </w:rPr>
            </w:pPr>
            <w:r>
              <w:rPr>
                <w:rFonts w:ascii="Arial" w:cs="Arial" w:eastAsia="Arial" w:hAnsi="Arial"/>
                <w:sz w:val="18"/>
                <w:szCs w:val="18"/>
                <w:color w:val="auto"/>
              </w:rPr>
              <w:t>, and</w:t>
            </w:r>
          </w:p>
        </w:tc>
        <w:tc>
          <w:tcPr>
            <w:tcW w:w="9060" w:type="dxa"/>
            <w:vAlign w:val="bottom"/>
            <w:gridSpan w:val="3"/>
          </w:tcPr>
          <w:p>
            <w:pPr>
              <w:jc w:val="right"/>
              <w:spacing w:after="0"/>
              <w:rPr>
                <w:sz w:val="20"/>
                <w:szCs w:val="20"/>
                <w:color w:val="auto"/>
              </w:rPr>
            </w:pPr>
            <w:r>
              <w:rPr>
                <w:rFonts w:ascii="Arial" w:cs="Arial" w:eastAsia="Arial" w:hAnsi="Arial"/>
                <w:sz w:val="18"/>
                <w:szCs w:val="18"/>
                <w:color w:val="auto"/>
                <w:w w:val="95"/>
              </w:rPr>
              <w:t>are acting as joint book-running managers of the offering and as representatives of the underwriters. We and the selling</w:t>
            </w:r>
          </w:p>
        </w:tc>
      </w:tr>
    </w:tbl>
    <w:p>
      <w:pPr>
        <w:ind w:left="12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 have entered into an underwriting agreement with the underwriters. Subject to the terms and conditions of the underwriting agreement, the selling shareholder has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211" w:lineRule="exact"/>
        <w:rPr>
          <w:sz w:val="20"/>
          <w:szCs w:val="20"/>
          <w:color w:val="auto"/>
        </w:rPr>
      </w:pPr>
    </w:p>
    <w:p>
      <w:pPr>
        <w:ind w:left="188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289560</wp:posOffset>
            </wp:positionV>
            <wp:extent cx="4749165"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14605</wp:posOffset>
            </wp:positionV>
            <wp:extent cx="6686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31750</wp:posOffset>
            </wp:positionV>
            <wp:extent cx="6686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5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underwriters are committed to purchase all of the ADSs offered by the selling shareholder if they purchase any ADSs.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ADSs directly to the public at the initial public offering price set forth on the cover page of this prospectus</w:t>
      </w:r>
    </w:p>
    <w:p>
      <w:pPr>
        <w:spacing w:after="0" w:line="46" w:lineRule="exact"/>
        <w:rPr>
          <w:sz w:val="20"/>
          <w:szCs w:val="20"/>
          <w:color w:val="auto"/>
        </w:rPr>
      </w:pPr>
    </w:p>
    <w:p>
      <w:pPr>
        <w:ind w:left="120"/>
        <w:spacing w:after="0"/>
        <w:tabs>
          <w:tab w:leader="none" w:pos="5500" w:val="left"/>
        </w:tabs>
        <w:rPr>
          <w:sz w:val="20"/>
          <w:szCs w:val="20"/>
          <w:color w:val="auto"/>
        </w:rPr>
      </w:pPr>
      <w:r>
        <w:rPr>
          <w:rFonts w:ascii="Arial" w:cs="Arial" w:eastAsia="Arial" w:hAnsi="Arial"/>
          <w:sz w:val="18"/>
          <w:szCs w:val="18"/>
          <w:color w:val="auto"/>
        </w:rPr>
        <w:t>and to certain dealers at that price less a concession not in excess of $</w:t>
      </w:r>
      <w:r>
        <w:rPr>
          <w:sz w:val="20"/>
          <w:szCs w:val="20"/>
          <w:color w:val="auto"/>
        </w:rPr>
        <w:tab/>
      </w:r>
      <w:r>
        <w:rPr>
          <w:rFonts w:ascii="Arial" w:cs="Arial" w:eastAsia="Arial" w:hAnsi="Arial"/>
          <w:sz w:val="16"/>
          <w:szCs w:val="16"/>
          <w:color w:val="auto"/>
        </w:rPr>
        <w:t>per ADS. Any such dealers may resell ADSs to certain other brokers or</w:t>
      </w:r>
    </w:p>
    <w:p>
      <w:pPr>
        <w:spacing w:after="0" w:line="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dealers at a discount of up to $ per ADS from the initial public offering price. After the initial offering of the ADSs to the public, if all of the ADSs are not sold at the initial public offering price, the underwriters may change the offering price and the other selling terms. Sales of any ADSs made outside of the U.S. may be made by affiliates of the underwriters.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ADS less the amount paid by the underwriters to the selling shareholder per ADS.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per ADS and total underwriting discounts and commissions to be paid to the underwriters.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Underwriting</w:t>
            </w:r>
          </w:p>
        </w:tc>
      </w:tr>
      <w:tr>
        <w:trPr>
          <w:trHeight w:val="149"/>
        </w:trPr>
        <w:tc>
          <w:tcPr>
            <w:tcW w:w="65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discounts and</w:t>
            </w:r>
          </w:p>
        </w:tc>
      </w:tr>
      <w:tr>
        <w:trPr>
          <w:trHeight w:val="171"/>
        </w:trPr>
        <w:tc>
          <w:tcPr>
            <w:tcW w:w="65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commissions</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estimate that the total expenses of this offering payable by us, including registration, filing and listing fees, printing fees and legal and accounting expenses, but excluding the underwriting discounts and commissions, will be approximately $ .</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agreed to reimburse the underwriters for expenses relating to clearance of</w:t>
      </w:r>
    </w:p>
    <w:p>
      <w:pPr>
        <w:spacing w:after="0" w:line="1" w:lineRule="exact"/>
        <w:rPr>
          <w:sz w:val="20"/>
          <w:szCs w:val="20"/>
          <w:color w:val="auto"/>
        </w:rPr>
      </w:pPr>
    </w:p>
    <w:p>
      <w:pPr>
        <w:ind w:left="120"/>
        <w:spacing w:after="0"/>
        <w:tabs>
          <w:tab w:leader="none" w:pos="7200" w:val="left"/>
        </w:tabs>
        <w:rPr>
          <w:sz w:val="20"/>
          <w:szCs w:val="20"/>
          <w:color w:val="auto"/>
        </w:rPr>
      </w:pPr>
      <w:r>
        <w:rPr>
          <w:rFonts w:ascii="Arial" w:cs="Arial" w:eastAsia="Arial" w:hAnsi="Arial"/>
          <w:sz w:val="18"/>
          <w:szCs w:val="18"/>
          <w:color w:val="auto"/>
        </w:rPr>
        <w:t>this offering with Financial Industry Regulatory Authority, Inc. (“FINRA”) for up to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our directors and executive officers and the selling shareholder have agreed that, without the prior written consent of , we and they will not, subject to certain exceptions, for a period of days after the date of this prospectus, offer, pledge, sell, contract to sell, sell any option or contract to purchase,</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60"/>
          </w:cols>
          <w:pgMar w:left="320" w:top="446" w:right="51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directly or indirectly, any</w:t>
      </w:r>
    </w:p>
    <w:p>
      <w:pPr>
        <w:spacing w:after="0" w:line="46"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ADSs or any securities convertible into or exercisable or exchangeable for our ADSs. may release the securities subject to any of the lock-up agreements with the underwriters described above, in whole or in part at any time.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and the selling shareholder have agreed to indemnify the underwriters against certain liabilities, including liabilities under the Securities Act.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have our ADSs approved for listing/quotation on the Nasdaq Global Select Market under the symbol “ARM”.</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 purchase in this offering, and purchasing ADSs on the open market to cover positions created by short sales.</w:t>
      </w:r>
    </w:p>
    <w:p>
      <w:pPr>
        <w:spacing w:after="0" w:line="17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ADSs as part of this offering to repay the underwriting discount received by them.</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ADSs. The initial public offering price will be determined by negotiations among us, the selling shareholder and the representatives of the underwriters. In determining the initial public offering price, we, the selling shareholder and the representatives of the underwriters expect to consider a number of factors, including:</w:t>
      </w:r>
    </w:p>
    <w:p>
      <w:pPr>
        <w:spacing w:after="0" w:line="89"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the selling shareholder and us.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the selling shareholder and the underwriters cannot assure investors that an active trading market will develop for our ADSs, or that the ADSs will trade in the public market at or above the initial public offering price.</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Other than in the U.S., no action has been taken by us, the selling shareholder or the underwriters that would permit a public offering of the securities offered by this prospectus in any jurisdiction where action for that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Certain of the underwriters and their affiliates have provided in the past to us, the selling shareholder and our and its respective affiliates and may provide from time to time in the future certain commercial banking, financial advisory, investment banking and other services for us, the selling shareholder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relation to each Member State of the EEA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EU Prospectus Regulation, except that offers of ADSs may be made to the public in that Relevant State at any time under the following exemptions under the EU Prospectus Regulation:</w:t>
      </w:r>
    </w:p>
    <w:p>
      <w:pPr>
        <w:spacing w:after="0" w:line="93"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EU Prospectus Regulation;</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EU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ADSs shall require us, the selling shareholder or any underwriter to publish a prospectus pursuant to Article 3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EU Prospectus Regulation or supplement a prospectus pursuant to Article 23 of the EU Prospectus Regulation. Each person who initially acquires any ADSs or to whom any offer is made will be deemed to have represented, acknowledged and agreed to and with each of the underwriters and their affiliates and us and the selling shareholder that it is a “qualified investor” within the meaning of Article 2 of the EU Prospectus Regulation. In the case of any ADSs being offered to a financial intermediary as that term is used in Article 5 of the EU Prospectus Regulation, each such financial intermediary will be deemed to have represented, acknowledged and agreed that the ADSs acquired by it in this offering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representatives have been obtained to each such proposed offer or resale.</w:t>
      </w:r>
    </w:p>
    <w:p>
      <w:pPr>
        <w:spacing w:after="0" w:line="16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“EU Prospectus Regulation” means Regulation (EU) 2017/1129.</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U.K.</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 ADSs have been offered or will be offered pursuant to the offering to the public in the U.K. prior to the publication of a prospectus in relation to the ADSs which has been approved by the Financial Conduct Authority in accordance with the U.K. Prospectus Regulation (as defined below), except that the ADSs may be offered to the public in the U.K. at any time:</w:t>
      </w:r>
    </w:p>
    <w:p>
      <w:pPr>
        <w:spacing w:after="0" w:line="8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the ADSs shall require us, the selling shareholder or any underwriter to publish a prospectus pursuant to Section 85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FSMA or supplement a prospectus pursuant to Article 23 of the U.K. Prospectus Regulation. For the purposes of this provision, the expression an “offer to the public” in relation to the ADSs in the U.K.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6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in the U.K., this prospectus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U.K. within the meaning of the FSMA.</w:t>
      </w:r>
    </w:p>
    <w:p>
      <w:pPr>
        <w:spacing w:after="0" w:line="17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Any person in the U.K. that is not a relevant person should not act or rely on the information included in this document or use it as basis for taking any action. In the U.K., any investment or investment activity that this prospectus relates to may be made or taken exclusively by relevant persons.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ADSs may not be publicly offered in Switzerland and will not be listed on the SIX Swiss Exchange (“SIX”) or on any other stock exchange or regulated trading facility in Switzerland. This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ADSs or the offering may be publicly distributed or otherwise made publicly available in Switzerland.</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the ADSs have been or will be filed with or approved by any Swiss regulatory authority. In particular, this prospectus will not be filed with, and the offer of ADSs will not be supervised by, the Swiss Financial Market Supervisory Authority FINMA (FINMA), and the offer of ADSs has not been and will not be authorized under the Swiss Federal Act on Collective Investment Schemes (the “CISA”). The investor protection afforded to acquirers of interests in collective investment schemes under the CISA does not extend to acquirers of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9" w:right="49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investors is not required under Chapter 6D of the Corporations Act or is otherwise in compliance with all applicable Australian laws and regulations. By submitting an application for the ADSs, you represent and warrant to us and the selling shareholder that you are an Exempt Investor.</w:t>
      </w:r>
    </w:p>
    <w:p>
      <w:pPr>
        <w:spacing w:after="0" w:line="12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and the selling shareholder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of Hong Kong (the “SFO”)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EXPENSES RELATED TO THE OFFERING</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Set forth below is an itemization of the total expenses, excluding the underwriting discounts and commissions, which are expected to be incurred in connection with the sale of ADSs in this offering. With the exception of the registration fee payable to the SEC, the Nasdaq listing fee and the filing fee payable to FINRA, all amounts are estimates.</w:t>
      </w:r>
    </w:p>
    <w:p>
      <w:pPr>
        <w:sectPr>
          <w:pgSz w:w="11900" w:h="16838" w:orient="portrait"/>
          <w:cols w:equalWidth="0" w:num="1">
            <w:col w:w="11000"/>
          </w:cols>
          <w:pgMar w:left="320" w:top="459" w:right="579" w:bottom="1440" w:gutter="0" w:footer="0" w:header="0"/>
        </w:sectPr>
      </w:pP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4"/>
          <w:szCs w:val="14"/>
          <w:u w:val="single" w:color="auto"/>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wp:posOffset>
            </wp:positionV>
            <wp:extent cx="4749165"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Amount</w:t>
      </w:r>
    </w:p>
    <w:p>
      <w:pPr>
        <w:spacing w:after="0" w:line="21" w:lineRule="exact"/>
        <w:rPr>
          <w:sz w:val="20"/>
          <w:szCs w:val="20"/>
          <w:color w:val="auto"/>
        </w:rPr>
      </w:pPr>
    </w:p>
    <w:p>
      <w:pPr>
        <w:ind w:left="680" w:hanging="680"/>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375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 w:lineRule="exact"/>
        <w:rPr>
          <w:sz w:val="20"/>
          <w:szCs w:val="20"/>
          <w:color w:val="auto"/>
        </w:rPr>
      </w:pPr>
    </w:p>
    <w:p>
      <w:pPr>
        <w:ind w:left="680" w:hanging="680"/>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375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375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7820" w:space="720"/>
            <w:col w:w="2460"/>
          </w:cols>
          <w:pgMar w:left="320" w:top="459" w:right="57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validity of the ADSs being offered by this prospectus and certain other matters of English law will be passed upon for us by Morrison &amp; Foerster (UK) LLP and certain other matters of U.S. federal law will be passed upon for us by Morrison &amp; Foerster LLP. SoftBank has been advised as to certain legal matters by Sullivan &amp; Cromwell LLP. Certain legal matters related to this offering will be passed upon for the underwriters by Davis Polk &amp; Wardwell LLP.</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consolidated financial statements of Arm Limited as of March 31, 2023, and 2022, and for each of the three years in the period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2023, included in this Prospectus have been audited by Deloitte &amp; Touche LLP, an independent registered public accounting firm, as stated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their report. Such consolidated financial statements are included in reliance upon the report of such firm given their authority as experts in accounting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auditing.</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registered business address of Deloitte &amp; Touche LLP is 225 West Santa Clara Street, Suite 600, San Jose, CA 95113-1728, USA.</w:t>
      </w:r>
    </w:p>
    <w:p>
      <w:pPr>
        <w:spacing w:after="0" w:line="16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incorporated and currently existing under the laws of England and Wales.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Uncertainty exists as to whether the courts of England and Wales would:</w:t>
      </w:r>
    </w:p>
    <w:p>
      <w:pPr>
        <w:spacing w:after="0" w:line="131" w:lineRule="exact"/>
        <w:rPr>
          <w:sz w:val="20"/>
          <w:szCs w:val="20"/>
          <w:color w:val="auto"/>
        </w:rPr>
      </w:pPr>
    </w:p>
    <w:p>
      <w:pPr>
        <w:ind w:left="1080" w:right="2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U.S. or any state in the U.S.; or</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entertain original actions brought in England and Wales against us or our directors or officers predicated upon the securities laws of the U.S. or any state in the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been advised by Morrison &amp; Foerster (UK) LLP and Morrison &amp; Foerster LLP that there is currently no treaty between (i) the U.S. and</w:t>
      </w:r>
    </w:p>
    <w:p>
      <w:pPr>
        <w:spacing w:after="0" w:line="46" w:lineRule="exact"/>
        <w:rPr>
          <w:sz w:val="20"/>
          <w:szCs w:val="20"/>
          <w:color w:val="auto"/>
        </w:rPr>
      </w:pPr>
    </w:p>
    <w:p>
      <w:pPr>
        <w:ind w:left="120" w:right="20" w:hanging="4"/>
        <w:spacing w:after="0" w:line="268" w:lineRule="auto"/>
        <w:tabs>
          <w:tab w:leader="none" w:pos="38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England and Wales providing for reciprocal recognition and enforcement of judgments of U.S. courts in civil and commercial matters (although the U.S. and the U.K. are both parties to the New York Convention on the Recognition and Enforcement of Foreign Arbitral Awards) and that a final judgment for the payment of money rendered by any general or state court in the U.S. based on civil liability, whether or not predicated solely upon U.S. securities laws, would not be automatically enforceable in England and Wales. We have also been advised by Morrison &amp; Foerster (UK) LLP and Morrison &amp; Foerster LLP that any final and conclusive monetary judgment for a definite sum obtained against us in the U.S. courts would be treated by the courts of England and Wales as a cause of action in itself and sued upon as a debt at common law so that no retrial of the issues would be necessary, provided that certain preconditions are met, including, but not limited to, that the relevant U.S. court had jurisdiction over the original proceeding according to English conflicts of laws principles and that the U.S. judgment was final and not procured by fraud.</w:t>
      </w:r>
    </w:p>
    <w:p>
      <w:pPr>
        <w:spacing w:after="0" w:line="183"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Whether the preconditions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It should also be noted that in the courts of England and Wales the usual rule is that the losing party is ordered to pay the legal costs of the litigation that were incurred by the successful party. These costs are assessed by the courts of England and Wales at the conclusion of the litigation.</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A related registration statement on Form F-6 will be filed with the SEC to register the ADSs. This prospectus, which forms a part of the registration statement on Form F-1, does not contain all of the information included in the registration statement on Form F-1 and the exhibits and schedules to the registration statement on Form F-1. Certain information is omitted and you should refer to the registration statement on Form F-1 and its exhibits and schedules for that information. If a document has been filed as an exhibit to the registration statement on Form F-1, we refer you to the copy of the document that has been filed. Each statement in this prospectus relating to a document filed as an exhibit is qualified in all respects by the filed exhibit.</w:t>
      </w:r>
    </w:p>
    <w:p>
      <w:pPr>
        <w:spacing w:after="0" w:line="19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applicable to foreign private issuers. Accordingly, we will be required to file reports and other information with the SEC, including annual reports on Form 20-F and current reports on Form 6-K. You can read our SEC filings, including the registration statement on Form F-1, at the SEC’s website at www.sec.gov. We also maintain a corporate website at www.arm.com and, upon the closing of this offering, you may access, free of charge, our annual reports on Form 20-F and current reports on Form 6-K and any amendments to those reports, as soon as reasonably practicable after such material is electronically filed with, or furnished to, the SEC. We have included our website address in this prospectus solely as an inactive textual reference.</w:t>
      </w:r>
    </w:p>
    <w:p>
      <w:pPr>
        <w:spacing w:after="0" w:line="164"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under the Exchange Act.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U.S. domestic reporting companies. We are only liable for violations of the rules and regulations of the SEC that apply to us as a foreign private issuer.</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will send the depositary a copy of all notices of shareholders meetings and other reports, communications and information that are made generally available to shareholders. The depositary has agreed to mail to all holders of ADSs a notice containing the information (or a summary of the information) contained in any notice of a meeting of our shareholders received by the depositary and will make available to all holders of ADSs such notices and all such other reports and communications received by the depositary.</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22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91"/>
              </w:rPr>
              <w:t>Report of Independent Registered Public Accounting Firm</w:t>
            </w:r>
          </w:p>
        </w:tc>
        <w:tc>
          <w:tcPr>
            <w:tcW w:w="5060" w:type="dxa"/>
            <w:vAlign w:val="bottom"/>
            <w:gridSpan w:val="6"/>
          </w:tcPr>
          <w:p>
            <w:pPr>
              <w:spacing w:after="0"/>
              <w:rPr>
                <w:sz w:val="16"/>
                <w:szCs w:val="16"/>
                <w:color w:val="auto"/>
              </w:rPr>
            </w:pPr>
          </w:p>
        </w:tc>
        <w:tc>
          <w:tcPr>
            <w:tcW w:w="16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304"/>
        </w:trPr>
        <w:tc>
          <w:tcPr>
            <w:tcW w:w="66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Consolidated Income Statements for the fiscal years ended March 31, 2023, 2022 and 2021</w:t>
            </w:r>
          </w:p>
        </w:tc>
        <w:tc>
          <w:tcPr>
            <w:tcW w:w="2660" w:type="dxa"/>
            <w:vAlign w:val="bottom"/>
            <w:gridSpan w:val="4"/>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7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Consolidated Statements of Comprehensive Income for the fiscal years ended March 31, 2023, 2022 and 2021</w:t>
            </w:r>
          </w:p>
        </w:tc>
        <w:tc>
          <w:tcPr>
            <w:tcW w:w="1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4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Consolidated Balance Sheets as of March 31, 2023 and 2022</w:t>
            </w:r>
          </w:p>
        </w:tc>
        <w:tc>
          <w:tcPr>
            <w:tcW w:w="4900" w:type="dxa"/>
            <w:vAlign w:val="bottom"/>
            <w:gridSpan w:val="5"/>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280" w:type="dxa"/>
            <w:vAlign w:val="bottom"/>
            <w:gridSpan w:val="8"/>
          </w:tcPr>
          <w:p>
            <w:pPr>
              <w:spacing w:after="0"/>
              <w:rPr>
                <w:sz w:val="20"/>
                <w:szCs w:val="20"/>
                <w:color w:val="auto"/>
              </w:rPr>
            </w:pPr>
            <w:r>
              <w:rPr>
                <w:rFonts w:ascii="Arial" w:cs="Arial" w:eastAsia="Arial" w:hAnsi="Arial"/>
                <w:sz w:val="18"/>
                <w:szCs w:val="18"/>
                <w:color w:val="0000EE"/>
              </w:rPr>
              <w:t>Consolidated Statements of Shareholders’ Equity for the fiscal years ended March 31, 2023, 2022 and 2021</w:t>
            </w:r>
          </w:p>
        </w:tc>
        <w:tc>
          <w:tcPr>
            <w:tcW w:w="16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77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8"/>
              </w:rPr>
              <w:t>Consolidated Statements of Cash Flows for the fiscal years ended March 31, 2023, 2022 and 2021</w:t>
            </w:r>
          </w:p>
        </w:tc>
        <w:tc>
          <w:tcPr>
            <w:tcW w:w="154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70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Notes to the Consolidated Financial Statements</w:t>
            </w:r>
          </w:p>
        </w:tc>
        <w:tc>
          <w:tcPr>
            <w:tcW w:w="222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85"/>
        </w:trPr>
        <w:tc>
          <w:tcPr>
            <w:tcW w:w="340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gridSpan w:val="5"/>
          </w:tcPr>
          <w:p>
            <w:pPr>
              <w:ind w:left="1120"/>
              <w:spacing w:after="0"/>
              <w:rPr>
                <w:sz w:val="20"/>
                <w:szCs w:val="20"/>
                <w:color w:val="auto"/>
              </w:rPr>
            </w:pPr>
            <w:r>
              <w:rPr>
                <w:rFonts w:ascii="Arial" w:cs="Arial" w:eastAsia="Arial" w:hAnsi="Arial"/>
                <w:sz w:val="18"/>
                <w:szCs w:val="18"/>
                <w:color w:val="auto"/>
              </w:rPr>
              <w:t>F-1</w:t>
            </w:r>
          </w:p>
        </w:tc>
        <w:tc>
          <w:tcPr>
            <w:tcW w:w="16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Arm Limited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have audited the accompanying consolidated balance sheets of Arm Limited and subsidiaries (the “Company”) as of March 31, 2023 and 2022, the related consolidated statements of income, comprehensive income, shareholders’ equity, and cash flows, for each of the three years in the period ended March 31, 2023, and the related notes (collectively referred to as the “financial statements”). In our opinion, the financial statements present fairly, in all material respects, the financial position of the Company as of March 31, 2023 and 2022, and the results of its operations and its cash flows for each of the three years in the period ended March 31, 2023,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ind w:left="120" w:right="40" w:hanging="4"/>
        <w:spacing w:after="0" w:line="255" w:lineRule="auto"/>
        <w:tabs>
          <w:tab w:leader="none" w:pos="3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8" w:lineRule="exact"/>
        <w:rPr>
          <w:sz w:val="20"/>
          <w:szCs w:val="20"/>
          <w:color w:val="auto"/>
        </w:rPr>
      </w:pPr>
    </w:p>
    <w:p>
      <w:pPr>
        <w:ind w:left="120" w:right="1920"/>
        <w:spacing w:after="0" w:line="375" w:lineRule="auto"/>
        <w:rPr>
          <w:sz w:val="20"/>
          <w:szCs w:val="20"/>
          <w:color w:val="auto"/>
        </w:rPr>
      </w:pPr>
      <w:r>
        <w:rPr>
          <w:rFonts w:ascii="Arial" w:cs="Arial" w:eastAsia="Arial" w:hAnsi="Arial"/>
          <w:sz w:val="18"/>
          <w:szCs w:val="18"/>
          <w:b w:val="1"/>
          <w:bCs w:val="1"/>
          <w:i w:val="1"/>
          <w:iCs w:val="1"/>
          <w:color w:val="auto"/>
        </w:rPr>
        <w:t xml:space="preserve">Revenue Recognition – License and Other Revenue —Refer to Notes 1, 3 and 22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Many of the Company’s revenue arrangements involve multiple performance obligations consisting of products and services such as intellectual property licenses, software licenses, support, training, and professional and</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design services. New arrangements with existing customers can be based on either a new contract or modification of prior contracts. Determining the appropriate revenue recognition for the Company’s contracts and modifications may involve significant judgments by management, including determining whether the Company’s contracts represent new contracts or the modification of pre-existing contracts, whether certain performance obligations are separate or should be combined and the portion of the transaction price that should be allocated to performance obligations, which may impact the amount and timing of revenue recognition.</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Given that the evaluation of whether contracts represent new contracts or the modification of pre-existing contracts, whether certain performance obligations are separate or should be combined and the portion of the transaction price that should be allocated to performance obligations in accordance with revenue recognition guidance was complex and required significant management judgment, performing audit procedures required a high degree of auditor judgment and an increased extent of effort, including the need to involve professionals in our firm having expertise in revenue recognition.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Our audit procedures related to management’s evaluation of whether contracts represent new contracts or the modification of pre-existing contracts, whether certain performance obligations are separate or should be combined and the portion of the transaction price that should be allocated to performance obligations included the following, among others:</w:t>
      </w:r>
    </w:p>
    <w:p>
      <w:pPr>
        <w:spacing w:after="0" w:line="211" w:lineRule="exact"/>
        <w:rPr>
          <w:sz w:val="20"/>
          <w:szCs w:val="20"/>
          <w:color w:val="auto"/>
        </w:rPr>
      </w:pPr>
    </w:p>
    <w:p>
      <w:pPr>
        <w:ind w:left="540" w:hanging="316"/>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a sample of contracts with customers, we performed the following, among others:</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Obtained and read the contract, including master agreements, amendments, purchase and sales order agreements, and related contracts.</w:t>
      </w:r>
    </w:p>
    <w:p>
      <w:pPr>
        <w:spacing w:after="0" w:line="130" w:lineRule="exact"/>
        <w:rPr>
          <w:rFonts w:ascii="Arial" w:cs="Arial" w:eastAsia="Arial" w:hAnsi="Arial"/>
          <w:sz w:val="18"/>
          <w:szCs w:val="18"/>
          <w:color w:val="auto"/>
        </w:rPr>
      </w:pPr>
    </w:p>
    <w:p>
      <w:pPr>
        <w:ind w:left="1080" w:right="280" w:hanging="540"/>
        <w:spacing w:after="0" w:line="263" w:lineRule="auto"/>
        <w:rPr>
          <w:rFonts w:ascii="Arial" w:cs="Arial" w:eastAsia="Arial" w:hAnsi="Arial"/>
          <w:sz w:val="18"/>
          <w:szCs w:val="18"/>
          <w:color w:val="auto"/>
        </w:rPr>
      </w:pPr>
      <w:r>
        <w:rPr>
          <w:rFonts w:ascii="Arial" w:cs="Arial" w:eastAsia="Arial" w:hAnsi="Arial"/>
          <w:sz w:val="18"/>
          <w:szCs w:val="18"/>
          <w:color w:val="auto"/>
        </w:rPr>
        <w:t>–We evaluated whether management properly determined whether the contract should be treated as a new contract or a modification of a pre-existing contract, including evaluating multiple contracts entered into with the same customer and whether those contracts were entered into at, or near, the same time and were interrelated.</w:t>
      </w:r>
    </w:p>
    <w:p>
      <w:pPr>
        <w:spacing w:after="0" w:line="89" w:lineRule="exact"/>
        <w:rPr>
          <w:rFonts w:ascii="Arial" w:cs="Arial" w:eastAsia="Arial" w:hAnsi="Arial"/>
          <w:sz w:val="18"/>
          <w:szCs w:val="18"/>
          <w:color w:val="auto"/>
        </w:rPr>
      </w:pPr>
    </w:p>
    <w:p>
      <w:pPr>
        <w:ind w:left="1080" w:hanging="540"/>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Requested and obtained responses to confirmations of contracts directly from the Company’s customers. If a response was not received, we performed alternative procedures including obtaining sales certifications to ensure no additional agreements existed.</w:t>
      </w:r>
    </w:p>
    <w:p>
      <w:pPr>
        <w:spacing w:after="0" w:line="51" w:lineRule="exact"/>
        <w:rPr>
          <w:rFonts w:ascii="Arial" w:cs="Arial" w:eastAsia="Arial" w:hAnsi="Arial"/>
          <w:sz w:val="18"/>
          <w:szCs w:val="18"/>
          <w:color w:val="auto"/>
        </w:rPr>
      </w:pPr>
    </w:p>
    <w:p>
      <w:pPr>
        <w:ind w:left="1080" w:right="340" w:hanging="540"/>
        <w:spacing w:after="0" w:line="277" w:lineRule="auto"/>
        <w:rPr>
          <w:rFonts w:ascii="Arial" w:cs="Arial" w:eastAsia="Arial" w:hAnsi="Arial"/>
          <w:sz w:val="18"/>
          <w:szCs w:val="18"/>
          <w:color w:val="auto"/>
        </w:rPr>
      </w:pPr>
      <w:r>
        <w:rPr>
          <w:rFonts w:ascii="Arial" w:cs="Arial" w:eastAsia="Arial" w:hAnsi="Arial"/>
          <w:sz w:val="18"/>
          <w:szCs w:val="18"/>
          <w:color w:val="auto"/>
        </w:rPr>
        <w:t>–We evaluated management’s identification of performance obligations by assessing whether the underlying products and services were separate performance obligations by performing the following: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Comparing the products and services identified in the contract to the performance obligations identified by management.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Evaluating additional or combined performance obligations by:</w:t>
      </w:r>
    </w:p>
    <w:p>
      <w:pPr>
        <w:spacing w:after="0" w:line="130" w:lineRule="exact"/>
        <w:rPr>
          <w:rFonts w:ascii="Arial" w:cs="Arial" w:eastAsia="Arial" w:hAnsi="Arial"/>
          <w:sz w:val="18"/>
          <w:szCs w:val="18"/>
          <w:color w:val="auto"/>
        </w:rPr>
      </w:pPr>
    </w:p>
    <w:p>
      <w:pPr>
        <w:ind w:left="2200" w:right="400" w:hanging="545"/>
        <w:spacing w:after="0" w:line="277" w:lineRule="auto"/>
        <w:tabs>
          <w:tab w:leader="none" w:pos="220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Obtaining an understanding of the Company’s products and services, including product roadmaps and other marketing materials.</w:t>
      </w:r>
    </w:p>
    <w:p>
      <w:pPr>
        <w:spacing w:after="0" w:line="75" w:lineRule="exact"/>
        <w:rPr>
          <w:rFonts w:ascii="Arial" w:cs="Arial" w:eastAsia="Arial" w:hAnsi="Arial"/>
          <w:sz w:val="18"/>
          <w:szCs w:val="18"/>
          <w:color w:val="auto"/>
        </w:rPr>
      </w:pPr>
    </w:p>
    <w:p>
      <w:pPr>
        <w:ind w:left="2200" w:right="600" w:hanging="545"/>
        <w:spacing w:after="0" w:line="277" w:lineRule="auto"/>
        <w:tabs>
          <w:tab w:leader="none" w:pos="220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Inquiring of the Company’s operational personnel to understand the nature of the contract, its business purpose, and identified performance obligations.</w:t>
      </w:r>
    </w:p>
    <w:p>
      <w:pPr>
        <w:spacing w:after="0" w:line="75" w:lineRule="exact"/>
        <w:rPr>
          <w:rFonts w:ascii="Arial" w:cs="Arial" w:eastAsia="Arial" w:hAnsi="Arial"/>
          <w:sz w:val="18"/>
          <w:szCs w:val="18"/>
          <w:color w:val="auto"/>
        </w:rPr>
      </w:pPr>
    </w:p>
    <w:p>
      <w:pPr>
        <w:ind w:left="1540" w:right="80" w:hanging="331"/>
        <w:spacing w:after="0" w:line="308" w:lineRule="auto"/>
        <w:tabs>
          <w:tab w:leader="none" w:pos="154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For certain of these selections, we evaluated management’s conclusions about whether identified performance obligations should be separate or combined with the assistance of professionals in our firm having expertise in revenue recognition.</w:t>
      </w:r>
    </w:p>
    <w:p>
      <w:pPr>
        <w:spacing w:after="0" w:line="5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We assessed the allocation of the transaction price to performance obligations by performing the following:</w:t>
      </w:r>
    </w:p>
    <w:p>
      <w:pPr>
        <w:spacing w:after="0" w:line="130" w:lineRule="exact"/>
        <w:rPr>
          <w:rFonts w:ascii="Arial" w:cs="Arial" w:eastAsia="Arial" w:hAnsi="Arial"/>
          <w:sz w:val="17"/>
          <w:szCs w:val="17"/>
          <w:color w:val="auto"/>
        </w:rPr>
      </w:pPr>
    </w:p>
    <w:p>
      <w:pPr>
        <w:ind w:left="1540" w:hanging="331"/>
        <w:spacing w:after="0"/>
        <w:tabs>
          <w:tab w:leader="none" w:pos="154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Compared the transaction price determined by management to the transaction price in the customer contracts.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540" w:right="20" w:hanging="331"/>
        <w:spacing w:after="0" w:line="277"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Compared the stand-alone selling price associated with each performance obligation to the Company’s estimated stand-alone selling price.</w:t>
      </w:r>
    </w:p>
    <w:p>
      <w:pPr>
        <w:spacing w:after="0" w:line="75" w:lineRule="exact"/>
        <w:rPr>
          <w:rFonts w:ascii="Arial" w:cs="Arial" w:eastAsia="Arial" w:hAnsi="Arial"/>
          <w:sz w:val="18"/>
          <w:szCs w:val="18"/>
          <w:color w:val="auto"/>
        </w:rPr>
      </w:pPr>
    </w:p>
    <w:p>
      <w:pPr>
        <w:ind w:left="1540" w:hanging="331"/>
        <w:spacing w:after="0" w:line="342" w:lineRule="auto"/>
        <w:tabs>
          <w:tab w:leader="none" w:pos="1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Evaluated the reasonableness of the Company’s methodology and inputs used to estimate stand-alone selling price by obtaining an understanding of the nature of the products and services, the pricing framework and testing the accuracy and completeness of inputs.</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Tested the mathematical accuracy of management’s allocation of transaction price to the performance obligations.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31, 2023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Fiscal Years Ended March 31,</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Revenue from external customers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2,025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4"/>
              </w:rPr>
              <w:t>2,679</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4"/>
              </w:rPr>
              <w:t>2,573</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(1,133)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 restructuring and other operating expenses, net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color w:val="auto"/>
              </w:rPr>
              <w:t>Total operating expense</w:t>
            </w: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(Loss) income from equity investments, net</w:t>
            </w:r>
          </w:p>
        </w:tc>
        <w:tc>
          <w:tcPr>
            <w:tcW w:w="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Other non-operating income (loss), net</w:t>
            </w: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Discontinued operations (Note 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Income tax (expense) benefit from discontinued operations</w:t>
            </w: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524</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income (loss) per share attributable to ordinary shareholders</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basic</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94"/>
        </w:trPr>
        <w:tc>
          <w:tcPr>
            <w:tcW w:w="5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per share attributable to ordinary shareholders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diluted</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94"/>
        </w:trPr>
        <w:tc>
          <w:tcPr>
            <w:tcW w:w="5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1,025,234,000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w w:val="88"/>
              </w:rPr>
              <w:t>1,025,234,000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1,025,234,000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1,027,505,008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8"/>
              </w:rPr>
              <w:t>1,025,234,000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1,025,234,000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66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Fiscal Years Ended March 31,</w:t>
            </w:r>
          </w:p>
        </w:tc>
      </w:tr>
      <w:tr>
        <w:trPr>
          <w:trHeight w:val="142"/>
        </w:trPr>
        <w:tc>
          <w:tcPr>
            <w:tcW w:w="83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340" w:type="dxa"/>
            <w:vAlign w:val="bottom"/>
            <w:tcBorders>
              <w:bottom w:val="single" w:sz="8" w:color="CCEEFF"/>
            </w:tcBorders>
          </w:tcPr>
          <w:p>
            <w:pPr>
              <w:spacing w:after="0"/>
              <w:rPr>
                <w:sz w:val="12"/>
                <w:szCs w:val="12"/>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$ 524</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$ 549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388</w:t>
            </w:r>
          </w:p>
        </w:tc>
        <w:tc>
          <w:tcPr>
            <w:tcW w:w="3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change of the effective portion of designated cash flow hedges</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r>
      <w:tr>
        <w:trPr>
          <w:trHeight w:val="27"/>
        </w:trPr>
        <w:tc>
          <w:tcPr>
            <w:tcW w:w="8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$ 501</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$ 518</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426</w:t>
            </w:r>
          </w:p>
        </w:tc>
      </w:tr>
      <w:tr>
        <w:trPr>
          <w:trHeight w:val="20"/>
        </w:trPr>
        <w:tc>
          <w:tcPr>
            <w:tcW w:w="8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par value and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98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8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1,554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Short-term investments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661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 (including receivables from related parties of $402 and $643 as of March 31, 2023 and 2022, respectively)</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Contract assets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3,537</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Equity investments (including investments held at fair value of $592 and $631 as of March 31, 2023 and 2022, respectively)</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1,620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Intangible assets, net</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Non-current portion of contract assets</w:t>
            </w: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3,329</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6,866</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6,510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Accrued compensation and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589</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Tax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Contract liabilities (including contract liabilities from related parties of $135 and $135 as of March 31, 2023 and 2022, respectively)</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293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20" w:type="dxa"/>
            <w:vAlign w:val="bottom"/>
          </w:tcPr>
          <w:p>
            <w:pPr>
              <w:spacing w:after="0"/>
              <w:rPr>
                <w:sz w:val="20"/>
                <w:szCs w:val="20"/>
                <w:color w:val="auto"/>
              </w:rPr>
            </w:pPr>
            <w:r>
              <w:rPr>
                <w:rFonts w:ascii="Arial" w:cs="Arial" w:eastAsia="Arial" w:hAnsi="Arial"/>
                <w:sz w:val="16"/>
                <w:szCs w:val="16"/>
                <w:color w:val="auto"/>
              </w:rPr>
              <w:t>Other current liabilities (including payables to related parties of $17 and $28 as of March 31, 2023 and 2022, respectively)</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1,363</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accrued compensation and share-based compensation</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contract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820" w:type="dxa"/>
            <w:vAlign w:val="bottom"/>
          </w:tcPr>
          <w:p>
            <w:pPr>
              <w:spacing w:after="0"/>
              <w:rPr>
                <w:sz w:val="20"/>
                <w:szCs w:val="20"/>
                <w:color w:val="auto"/>
              </w:rPr>
            </w:pPr>
            <w:r>
              <w:rPr>
                <w:rFonts w:ascii="Arial" w:cs="Arial" w:eastAsia="Arial" w:hAnsi="Arial"/>
                <w:sz w:val="16"/>
                <w:szCs w:val="16"/>
                <w:color w:val="auto"/>
              </w:rPr>
              <w:t>Non-current portion of operating lease liabilities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1,452</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2,815</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20" w:type="dxa"/>
            <w:vAlign w:val="bottom"/>
          </w:tcPr>
          <w:p>
            <w:pPr>
              <w:spacing w:after="0"/>
              <w:rPr>
                <w:sz w:val="20"/>
                <w:szCs w:val="20"/>
                <w:color w:val="auto"/>
              </w:rPr>
            </w:pPr>
            <w:r>
              <w:rPr>
                <w:rFonts w:ascii="Arial" w:cs="Arial" w:eastAsia="Arial" w:hAnsi="Arial"/>
                <w:sz w:val="16"/>
                <w:szCs w:val="16"/>
                <w:color w:val="auto"/>
              </w:rPr>
              <w:t>Commitments and contingencies (Note 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Ordinary shares, $0.001 par value, 1,025,234,000 shares authorized, issued and outstanding as of March 31, 2023</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1,216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376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2,457</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shareholders’ equity</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4,051</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6,866</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6,510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58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3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40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Number of</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2020</w:t>
            </w:r>
          </w:p>
        </w:tc>
        <w:tc>
          <w:tcPr>
            <w:tcW w:w="11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1,214</w:t>
            </w:r>
          </w:p>
        </w:tc>
        <w:tc>
          <w:tcPr>
            <w:tcW w:w="360" w:type="dxa"/>
            <w:vAlign w:val="bottom"/>
            <w:tcBorders>
              <w:top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392</w:t>
            </w:r>
          </w:p>
        </w:tc>
        <w:tc>
          <w:tcPr>
            <w:tcW w:w="94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$ 2,766</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4,374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8"/>
              </w:rPr>
              <w:t>Cash dividends declared $0.73 per share and paid to</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2021</w:t>
            </w: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86"/>
              </w:rPr>
              <w:t>430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4,050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Distribution to ordinary shareholders related to</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Treasure Data and Arm China</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86"/>
              </w:rPr>
              <w:t>399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1,933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fair value of the effective portion of</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designated cash flow hedges, net of tax</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Balance as of March 31, 2023</w:t>
            </w:r>
          </w:p>
        </w:tc>
        <w:tc>
          <w:tcPr>
            <w:tcW w:w="11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w w:val="86"/>
              </w:rPr>
              <w:t>376</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$ 2,457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6"/>
              </w:rPr>
              <w:t>Fiscal Years Ended March 31,</w:t>
            </w:r>
          </w:p>
        </w:tc>
        <w:tc>
          <w:tcPr>
            <w:tcW w:w="0" w:type="dxa"/>
            <w:vAlign w:val="bottom"/>
          </w:tcPr>
          <w:p>
            <w:pPr>
              <w:spacing w:after="0"/>
              <w:rPr>
                <w:sz w:val="1"/>
                <w:szCs w:val="1"/>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9"/>
              </w:rPr>
              <w:t>2023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2022</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2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Cash flows provided by operating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524</w:t>
            </w:r>
          </w:p>
        </w:tc>
        <w:tc>
          <w:tcPr>
            <w:tcW w:w="2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549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185</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(76)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Loss (income) from equity investments, net</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(141)</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 losses on long-lived assets and loans receivable</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Share-based compensation cost</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26</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Operating lease expense</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Other non-cash operating activities, net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19</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assets and liabilities: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Accounts receivable, net (including receivables from related parties)</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(219)</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Contract assets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(158)</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assets</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(41)</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Accrued compensation and benefits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127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Contract liabilities (including contract liabilities from related parties)</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(51)</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950</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Tax liabilities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112</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8720" w:type="dxa"/>
            <w:vAlign w:val="bottom"/>
          </w:tcPr>
          <w:p>
            <w:pPr>
              <w:ind w:left="300"/>
              <w:spacing w:after="0" w:line="162" w:lineRule="exact"/>
              <w:rPr>
                <w:sz w:val="20"/>
                <w:szCs w:val="20"/>
                <w:color w:val="auto"/>
              </w:rPr>
            </w:pPr>
            <w:r>
              <w:rPr>
                <w:rFonts w:ascii="Arial" w:cs="Arial" w:eastAsia="Arial" w:hAnsi="Arial"/>
                <w:sz w:val="15"/>
                <w:szCs w:val="15"/>
                <w:color w:val="auto"/>
              </w:rPr>
              <w:t>Operating lease liabilities</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(59)</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liabilities (including payables to related parties)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vMerge w:val="continue"/>
          </w:tcPr>
          <w:p>
            <w:pPr>
              <w:spacing w:after="0"/>
              <w:rPr>
                <w:sz w:val="15"/>
                <w:szCs w:val="15"/>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739</w:t>
            </w: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458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1,233</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used for investing activities</w:t>
            </w: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Purchase of short-term investments</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6"/>
              </w:rPr>
              <w:t>(1,111)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(750)</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76"/>
        </w:trPr>
        <w:tc>
          <w:tcPr>
            <w:tcW w:w="8720" w:type="dxa"/>
            <w:vAlign w:val="bottom"/>
            <w:shd w:val="clear" w:color="auto" w:fill="CCEEFF"/>
          </w:tcPr>
          <w:p>
            <w:pPr>
              <w:spacing w:after="0"/>
              <w:rPr>
                <w:sz w:val="20"/>
                <w:szCs w:val="20"/>
                <w:color w:val="auto"/>
              </w:rPr>
            </w:pPr>
            <w:r>
              <w:rPr>
                <w:rFonts w:ascii="Arial" w:cs="Arial" w:eastAsia="Arial" w:hAnsi="Arial"/>
                <w:sz w:val="15"/>
                <w:szCs w:val="15"/>
                <w:color w:val="auto"/>
              </w:rPr>
              <w:t>Proceeds from maturity of short-term investments</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245</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Purchases of equity investments</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(8)</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intangible assets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(34)</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Investments in convertible loans and other</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5"/>
                <w:szCs w:val="15"/>
                <w:b w:val="1"/>
                <w:bCs w:val="1"/>
                <w:color w:val="auto"/>
              </w:rPr>
              <w:t>Net cash used for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vMerge w:val="continue"/>
          </w:tcPr>
          <w:p>
            <w:pPr>
              <w:spacing w:after="0"/>
              <w:rPr>
                <w:sz w:val="15"/>
                <w:szCs w:val="15"/>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(138)</w:t>
            </w: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(619)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used for financing activities</w:t>
            </w: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Cash dividends declared and paid to shareholders</w:t>
            </w:r>
          </w:p>
        </w:tc>
        <w:tc>
          <w:tcPr>
            <w:tcW w:w="100" w:type="dxa"/>
            <w:vAlign w:val="bottom"/>
          </w:tcPr>
          <w:p>
            <w:pPr>
              <w:spacing w:after="0"/>
              <w:rPr>
                <w:sz w:val="14"/>
                <w:szCs w:val="14"/>
                <w:color w:val="auto"/>
              </w:rPr>
            </w:pPr>
          </w:p>
        </w:tc>
        <w:tc>
          <w:tcPr>
            <w:tcW w:w="6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transfers associated with distribution and sale of Treasure Data and IoTP, respectively</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Payment of intangible asset obligations</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(37)</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short-term debt borrowing</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Other financing activities, net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(2)</w:t>
            </w: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for financing activities</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(42)</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(789)</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increase (decrease) in cash and cash equivalents</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550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(210)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the beginning of the year</w:t>
            </w: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1,214</w:t>
            </w: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1,109</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the end of the year</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1,554</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1,004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Less cash from discontinued operations, end of the year</w:t>
            </w:r>
          </w:p>
        </w:tc>
        <w:tc>
          <w:tcPr>
            <w:tcW w:w="100" w:type="dxa"/>
            <w:vAlign w:val="bottom"/>
          </w:tcPr>
          <w:p>
            <w:pPr>
              <w:spacing w:after="0"/>
              <w:rPr>
                <w:sz w:val="14"/>
                <w:szCs w:val="14"/>
                <w:color w:val="auto"/>
              </w:rPr>
            </w:pPr>
          </w:p>
        </w:tc>
        <w:tc>
          <w:tcPr>
            <w:tcW w:w="42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and cash equivalents from continuing operations, end of the year</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1,554</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1,004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1,171</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payments for income taxes</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(159)</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Cash refunds from income taxes</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w:t>
            </w:r>
          </w:p>
        </w:tc>
        <w:tc>
          <w:tcPr>
            <w:tcW w:w="2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payments for interest</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0"/>
        </w:trPr>
        <w:tc>
          <w:tcPr>
            <w:tcW w:w="8720" w:type="dxa"/>
            <w:vAlign w:val="bottom"/>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Non-cash distributions associated with Arm China and Treasure Data</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20" w:type="dxa"/>
            <w:vAlign w:val="bottom"/>
          </w:tcPr>
          <w:p>
            <w:pPr>
              <w:spacing w:after="0" w:line="162" w:lineRule="exact"/>
              <w:rPr>
                <w:sz w:val="20"/>
                <w:szCs w:val="20"/>
                <w:color w:val="auto"/>
              </w:rPr>
            </w:pPr>
            <w:r>
              <w:rPr>
                <w:rFonts w:ascii="Arial" w:cs="Arial" w:eastAsia="Arial" w:hAnsi="Arial"/>
                <w:sz w:val="15"/>
                <w:szCs w:val="15"/>
                <w:color w:val="auto"/>
              </w:rPr>
              <w:t>Non-cash changes in property, plant and equipment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11</w:t>
            </w:r>
          </w:p>
        </w:tc>
        <w:tc>
          <w:tcPr>
            <w:tcW w:w="2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Non-cash additions to equity investments from conversion of certain receivables</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18</w:t>
            </w:r>
          </w:p>
        </w:tc>
        <w:tc>
          <w:tcPr>
            <w:tcW w:w="2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Arm Limited (“the Company”) 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260"/>
        <w:spacing w:after="0" w:line="22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U.S. (“GAAP”) and pursuant to the rules and regulations of the Securities and Exchange Commission (“SEC”). The Company’s fiscal year ends on March 31</w:t>
      </w:r>
      <w:r>
        <w:rPr>
          <w:rFonts w:ascii="Arial" w:cs="Arial" w:eastAsia="Arial" w:hAnsi="Arial"/>
          <w:sz w:val="26"/>
          <w:szCs w:val="26"/>
          <w:color w:val="auto"/>
          <w:vertAlign w:val="superscript"/>
        </w:rPr>
        <w:t>st</w:t>
      </w:r>
      <w:r>
        <w:rPr>
          <w:rFonts w:ascii="Arial" w:cs="Arial" w:eastAsia="Arial" w:hAnsi="Arial"/>
          <w:sz w:val="18"/>
          <w:szCs w:val="18"/>
          <w:color w:val="auto"/>
        </w:rPr>
        <w:t>. The accompanying consolidated financial statements include the accounts of the Company and its wholly owned subsidiaries. All intercompany balances and transactions have been eliminated in consolidation.</w:t>
      </w:r>
    </w:p>
    <w:p>
      <w:pPr>
        <w:spacing w:after="0" w:line="20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accompanying consolidated financial statements are presented in U.S. dollar (“USD”), which is the Company’s functional and reporting currency.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most of the Company’s international operations, the local currency has been determined to be the functional currency of the respective entity.</w:t>
      </w:r>
    </w:p>
    <w:p>
      <w:pPr>
        <w:spacing w:after="0" w:line="22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transactions entered into in a currency other than its functional currency, monetary assets and liabilities are remeasured into the functional currency at end-of-period exchange rates. Non-monetary assets and liabilities, along with equity are remeasured at historical exchange rates. Income and expenses are remeasured at exchange rates in effect during each period, except for those expenses related to non-monetary balance sheet amounts, which are remeasured at historical exchange rates. Gains or losses from foreign currency remeasurement are included in other non-operating income (loss), net on the Consolidated Income Statements.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translates functional currency assets and liabilities to their USD equivalents at exchange rates in effect as of the balance sheet date and income and expense amounts at average exchange rates for the period. The USD effects that arise from changing translation rates are recorded in foreign currency translation adjustments on the Consolidated Statements of Comprehensive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revenues and expenses during the reporting periods. Significant items subject to such estimates include, but are not limited to, revenue recognition, allowance for doubtful accounts,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Inputs used in judgments and estimates consider the economic implications of COVID-19. The impact of COVID-19 related estimates were not material to the consolidated financial statements.</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Credit risk is the risk of an unexpected loss if a customer or third-party to a financial instrument fails to meet its contractual obligations. Financial instruments that potentially subject the Company to concentrations of credit risk consist principally of cash and cash equivalents, bank deposits, short-term investments, derivative financial instruments and accounts receivable. The Company’s maximum exposure to credit risk is limited to the carrying amount of these assets. The credit risk on liquid funds and derivative financial instruments is limited because the counterparties are banks with high credit ratings assigned by international credit rating agencies. The Company further manages its credit risk on liquid funds and derivative financial instruments through diversification of investment type and credit exposures. For accounts receivable, the credit risk is managed through the use of mitigating controls, including the use of credit checks and credit limits on customers. For financial assets (other than accounts receivable), the Company holds positions with an approved list of investment-grade rated counterparties and monitors the exposures and counterparty credit risk on a regular basis.</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Additionally, in March 2022, the Company entered into a Guarantee (as defined below) as discussed more fully in Note 19,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relating to the payment obligations under the Facility Agreement owed by Kronos (as defined below), an entity under common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SoftBank Group Corp. (“SoftBank”). Under the terms of the arrangements, a subsidiary of Kronos secured the obligations under the Facility Agreement (as defined below) by pledging its 75.01% interest in the Company and upon an Arm Guarantee Trigger Event (as defined below) as discussed in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the Company may become exposed to the credit risk of Kronos failing to pay its obligations, monetize the share collateral to settle the obligations directly, or otherwise restructure the Facility Agreement before obligations are due. Upon default, the lenders can satisfy their claim either through foreclosing on the pledged 75.01% interest in the Company or through enforcing the Company’s obligations pursuant to the Guarantee.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Cash and cash equivalents include cash on hand, short-term deposits and money market funds with original maturities of three months or less that are readily convertible into known amounts of cash and are subject to insignificant risk of changes in value. Cash and cash equivalents are stated at cost, which approximates fair value because the short-term maturity of those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Short-term investments represent term deposits with banks with a maturity between three and 12 months. These investments are classified as held-to-maturity as the Company has the intent and ability to hold the investments to maturity. These investments are recorded at amortized cost, net of expected credit losses. Amortization of premiums or accretion of discounts are included in interest income (expense), net on the Consolidated Income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regularly invests in equity securities of public and private companies to promote business and strategic objectives. Equity investments are measured and recorded as follows:</w:t>
      </w:r>
    </w:p>
    <w:p>
      <w:pPr>
        <w:spacing w:after="0" w:line="76" w:lineRule="exact"/>
        <w:rPr>
          <w:sz w:val="20"/>
          <w:szCs w:val="20"/>
          <w:color w:val="auto"/>
        </w:rPr>
      </w:pPr>
    </w:p>
    <w:p>
      <w:pPr>
        <w:ind w:left="1080" w:right="140" w:hanging="424"/>
        <w:spacing w:after="0" w:line="275"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Marketable equity securities are equity securities with readily determinable fair values that are measured and recorded at fair value on a recurring basis with changes in fair value, whether realized or unrealized, recorded on the income statement. Fair value is determined based on quoted market rates when observable or by utilizing data points that are observable, such as quoted prices, interest rates or yield curves. During the fiscal year ended March 31, 2021, the Company disposed of its only marketable security. Accordingly, the Company did not have any marketable equity securities as of March 31, 2023 and 2022.</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right="20" w:hanging="424"/>
        <w:spacing w:after="0" w:line="25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Non-marketable equity securities are equity securities without readily determinable fair values and for which the Company does not have the ability to exercise significant influence. Non-marketable equity securities are recorded on the income statement either at fair value on a recurring basis with changes in fair value, whether realized or unrealized; or by election, measured and recorded using a measurement alternative that measures the securities at cost minus impairment, if any, plus or minus changes resulting from qualifying observable price changes.</w:t>
      </w:r>
    </w:p>
    <w:p>
      <w:pPr>
        <w:spacing w:after="0" w:line="93"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Equity method investments are equity securities in investees in which the Company does not control but has the ability to exercise significant influence. Investments in limited partnerships or certain limited liability companies that maintain a specific ownership account for each investor are accounted for using the equity method when the Company has more than virtually no influence (i.e., at least 3% to 5% ownership). The Company has elected to account for certain equity method investments under the fair value option. These investments are recorded at fair value with changes in fair value recorded on the income statement. Where the Company has not elected the fair value option, equity method investments are recorded at cost minus impairment, if any, plus or minus the Company’s share of the equity method investees’ income or loss recorded on the income statement.</w:t>
      </w:r>
    </w:p>
    <w:p>
      <w:pPr>
        <w:spacing w:after="0" w:line="17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For certain non-marketable equity securities and equity method investments, the Company has elected to apply the net asset value (“NAV”) practical expedient, where NAV is the estimated fair value of the investments. For these securities estimated fair values are determined based on the indicated market values of the underlying assets or investment portfolios. Income statement activity for all equity investments is recorded in income from equity investments, net on the Consolidated Income Statements.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carrying values of non-marketable equity securities under the measurement alternative are adjusted for qualifying observable price changes resulting from the issuance of similar or identical securities in an orderly transaction by the same issuer. Determining whether an observed transaction is similar to a security within the Company’s portfolio requires judgment based on the rights and preferences of the securities. Recording upward and downward adjustments to the carrying values of equity securities as a result of observable price changes requires quantitative assessments of the fair values of the Company’s equity securities using various valuation methodologies and involves the use of estimates.</w:t>
      </w:r>
    </w:p>
    <w:p>
      <w:pPr>
        <w:spacing w:after="0" w:line="16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Non-marketable equity securities under the measurement alternative and equity method investments not measured under the fair value option (collectively referred to as “non-marketable equity securities”) are also subject to periodic impairment analysis. The quarterly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the Company prepares quantitative assessments of the fair value of the non-marketable equity securities using both the market and income approaches, which require judgment and the use of estimates, including discount rates, investee revenue and costs, and comparable market data of private and public companies, among others.</w:t>
      </w:r>
    </w:p>
    <w:p>
      <w:pPr>
        <w:spacing w:after="0" w:line="166"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Non-marketable equity securities under the measurement alternative are tested for impairment using a qualitative model similar to the model used to test goodwill and other long-lived assets for impairment. Upon determining an impairment may exist, the security’s fair value is calculated and compared to its carrying value and an impairment is recognized immediately if the carrying value exceeds fair value.</w:t>
      </w:r>
    </w:p>
    <w:p>
      <w:pPr>
        <w:spacing w:after="0" w:line="165"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the Company’s ability and intent to hold the investment for a sufficient period of time to allow for recovery.</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Receivable</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Loans receivable consist of term loans to a related party and other entities. The term loans are recorded at amortized cost, net of allowances for loan losses. The Company maintains an allowance for current expected credit losses to reserve for potentially uncollectible loans receivable. The Company measures interest income for all loans receivable using the interest method, which is based on the effective yield of the loans rather than the stated coupon rate. The Company classifies loans receivable in other non-currents assets on the Consolidated Balance Sheets.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Convertible loans receivable consist of convertible loans to certain entities. The Company has elected to apply the fair value option to account for such convertible loans receivable. Under the fair value option, such convertible loans receivable are measured initially and subsequently at fair value with changes in fair value recorded in other non-operating income (loss), net on the Consolidated Income Statements. Convertible loans receivable are included in other non-current assets on the Consolidated Balance Sheets.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Company measures certain assets and liabilities at fair value, either upon initial recognition or for subsequent accounting or reporting. Fair value is defined as the price that would be received to sell an asset or be paid to transfer a liability in an orderly transaction between market participants at the measurement date (exit price). When determining fair value, the Company considers the principal or most advantageous market in which the Company would transact, as well as assumptions that market participants would use when pricing the asset or liability. When estimating fair value, depending on the nature and complexity of the asset or liability, the Company may use one or all of the following techniques:</w:t>
      </w:r>
    </w:p>
    <w:p>
      <w:pPr>
        <w:spacing w:after="0" w:line="67"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Income approach, which is based on the present value of a future stream of net cash flows.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Market approach, which is based on market prices and other information from market transactions involving identical or comparable assets or liabilities.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Cost approach, which is based on the cost to acquire or construct comparable assets, less an allowance for functional and/or economic obsolescence.</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Fair value disclosures are classified based on the fair value hierarchy, which prioritizes the inputs used in the valuation methodologies in measuring fair value:</w:t>
      </w:r>
    </w:p>
    <w:p>
      <w:pPr>
        <w:spacing w:after="0" w:line="76" w:lineRule="exact"/>
        <w:rPr>
          <w:sz w:val="20"/>
          <w:szCs w:val="20"/>
          <w:color w:val="auto"/>
        </w:rPr>
      </w:pPr>
    </w:p>
    <w:p>
      <w:pPr>
        <w:ind w:left="1080" w:right="56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Level 3 - Prices or valuation techniques requiring inputs that are both significant to the fair value measurement and unobservable.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Please refer to Note 13, </w:t>
      </w:r>
      <w:r>
        <w:rPr>
          <w:rFonts w:ascii="Arial" w:cs="Arial" w:eastAsia="Arial" w:hAnsi="Arial"/>
          <w:sz w:val="18"/>
          <w:szCs w:val="18"/>
          <w:i w:val="1"/>
          <w:iCs w:val="1"/>
          <w:color w:val="auto"/>
        </w:rPr>
        <w:t>Fair Value</w:t>
      </w:r>
      <w:r>
        <w:rPr>
          <w:rFonts w:ascii="Arial" w:cs="Arial" w:eastAsia="Arial" w:hAnsi="Arial"/>
          <w:sz w:val="18"/>
          <w:szCs w:val="18"/>
          <w:color w:val="auto"/>
        </w:rPr>
        <w:t>, for further discussion on the Company’s fair value measurements.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include, but are not limited to, the amount and timing of projected future cash flows, discount rate used to determine the present value of these cash flows and the useful lives of the assets. Although the Company’s fair value estimates are based upon assumptions believed to be reasonable, these estimates and assumptions are inherently uncertain and subject to refinement.</w:t>
      </w:r>
    </w:p>
    <w:p>
      <w:pPr>
        <w:spacing w:after="0" w:line="195"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color w:val="auto"/>
        </w:rPr>
        <w:t>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on the Consolidated Income Statements. Acquisition-related expenses are recognized separately from the business combination and expensed as incurred.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Goodwill represents the excess of cost over the fair value of net assets acquired in a business combination. Goodwill is tested for impairment annually during the fourth fiscal quarter or during interim periods whenever events and circumstances indicate an impairment may have occurred. The identification and measurement of goodwill impairment involves the estimation of fair value at the Company’s reporting unit level, which is the same or one level below the operating segment level. The Company determined it has one reporting unit.</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has the option to assess qualitative factors first to determine whether it is necessary to perform the two-step test. If the Company believes, as a result of the qualitative assessment, that it is more-likely-than-not that the fair value of the reporting unit is less than its carrying amount, the two-step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completed its annual goodwill impairment test in the fourth fiscal quarter of the fiscal year ended March 31, 2023. It was determined, after performing a qualitative review, it was not more-likely-than-not that the fair value of the Company’s single reporting unit was less than its carrying amount. Accordingly, there was no indication of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Intangible assets primarily represent acquired intangible assets including those acquired separately, such as computer software and purchased patents and licenses to use technology, as well as those acquired through business combination such as in-process research and development (“IPR&amp;D”), developed technology, and customer relationship assets.</w:t>
      </w:r>
    </w:p>
    <w:p>
      <w:pPr>
        <w:spacing w:after="0" w:line="1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Company initially records intangible assets acquired in a business combination at their estimated fair value. Intangible assets are reported net of accumulated amortization and are amortized over their estimated useful lives at amortization rates that are proportionate to each asset’s estimated economic benefit. The Company initially</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color w:val="auto"/>
        </w:rPr>
        <w:t>capitalizes the fair value of IPR&amp;D as an intangible asset with an indefinite life. When IPR&amp;D projects are ready for use, they are treated as an amortizable intangible asset and amortized over the asset’s estimated useful life, which is usually between one and five years.</w:t>
      </w:r>
    </w:p>
    <w:p>
      <w:pPr>
        <w:spacing w:after="0" w:line="14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Amortization of intangible assets is recorded in either cost of sales, research &amp; development or selling, general and administrative expenses on the Consolidated Income Statements depending on the nature of the underlying asset and uses by the Company.</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cost of intangible assets is amortized and recorded on the income statement on a straight-line basis over the estimated useful lives of the underlying assets. Useful lives are reviewed each year and adjustments are made, where applicable, on a prospective basis. The estimated useful lives of the Company’s intangible assets are as follows: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Patents and licenses</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83"/>
              </w:rPr>
              <w:t>– 11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Computer software</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5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Developed technology</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1</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8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1</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6 years</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Trade names</w:t>
            </w:r>
          </w:p>
        </w:tc>
        <w:tc>
          <w:tcPr>
            <w:tcW w:w="2000" w:type="dxa"/>
            <w:vAlign w:val="bottom"/>
            <w:gridSpan w:val="2"/>
          </w:tcPr>
          <w:p>
            <w:pPr>
              <w:ind w:left="1140"/>
              <w:spacing w:after="0"/>
              <w:rPr>
                <w:sz w:val="20"/>
                <w:szCs w:val="20"/>
                <w:color w:val="auto"/>
              </w:rPr>
            </w:pPr>
            <w:r>
              <w:rPr>
                <w:rFonts w:ascii="Arial" w:cs="Arial" w:eastAsia="Arial" w:hAnsi="Arial"/>
                <w:sz w:val="18"/>
                <w:szCs w:val="18"/>
                <w:color w:val="auto"/>
              </w:rPr>
              <w:t>4 years</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 and Acquired Intangible Software</w:t>
      </w:r>
    </w:p>
    <w:p>
      <w:pPr>
        <w:spacing w:after="0" w:line="117"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The Company has not historically capitalized software development costs for software to be sold, leased or otherwise marketed as the time and cost incurred between technological feasibility and product release has been determined to be immaterial. As such, these development costs are generally recognized as incurred in research and development expenses on the Consolidated Income Statements.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capitalizes certain development costs related to software acquired, developed or modified for internal use, along with certain costs incurred in connection with the implementation of internal use software. Costs related to certain application development activities are subject to capitalization. Costs related to preliminary project and post implementation activities are expensed as incurred. Amortization begins once the software is ready for its intended use, and amortization expense is generally recognized on a straight-line basis over the software’s estimated useful life between three and five years.</w:t>
      </w:r>
    </w:p>
    <w:p>
      <w:pPr>
        <w:spacing w:after="0" w:line="188"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Capitalized costs related to internal use software, net of accumulated amortization, are included in intangible assets, net on the Consolidated Balance Sheets and amortization expense is recognized in selling, general &amp; administrative expenses on the Consolidated Income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impairment losses. Cost comprises expenditures directly attributable to the purchase of the asset. Assets are depreciated to their estimated residual value, on a straight-line basis, over the estimated useful life of the underlying asset. Estimated useful lives and residual values are reviewed at each reporting date. Depreciation on property and equipment is recorded in cost of sales, research and development or selling, general &amp; administrative expenses on the Consolidated Income Statements depending on the nature of the underlying asset and uses by the Company.</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Confidential Treatment Requested by Arm Holdings Limited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useful lives of the Company’s property and equipment are as follows:</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Leasehold improvements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Fixtures and 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5 – 10 years or the remaining lease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200" w:lineRule="exact"/>
        <w:rPr>
          <w:sz w:val="20"/>
          <w:szCs w:val="20"/>
          <w:color w:val="auto"/>
        </w:rPr>
      </w:pPr>
    </w:p>
    <w:p>
      <w:pPr>
        <w:sectPr>
          <w:pgSz w:w="11900" w:h="16838" w:orient="portrait"/>
          <w:cols w:equalWidth="0" w:num="2">
            <w:col w:w="3800" w:space="720"/>
            <w:col w:w="6600"/>
          </w:cols>
          <w:pgMar w:left="320" w:top="459" w:right="459" w:bottom="1440" w:gutter="0" w:footer="0" w:header="0"/>
          <w:type w:val="continuous"/>
        </w:sectPr>
      </w:pPr>
    </w:p>
    <w:p>
      <w:pPr>
        <w:spacing w:after="0" w:line="1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 item of property or equipment is written off either upon disposal or when there is no expected future economic benefit from its continued use. Gain or loss on derecognition of the asset (calculated as the difference between the net disposal proceeds and the carrying value of the asset) is included in the income statement in the year the asset is derecognized.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 Other than Goodwill</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reviews long-lived assets other than goodwill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 is determined based on quoted market values, discounted cash flows, or external appraisals, as applicable. Impairment losses are recorded in impairment of long-lived assets on the Consolidated Income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 The Company recognizes right-of-use assets and operating lease liabilities for lessee operating leases other than those with a term of 12 months or less as the Company has elected to apply the short-term lease recognition exemption. Right-of-use assets represent the right to use an underlying asset for the lease term and lease liabilities represent an obligation to make lease payments over the lease term.</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Operating lease right-of-use assets and lease liabilities are measured at the lease commencement date based on the present value of the remaining lease payments over the lease term, discounted using the Company’s incremental borrowing rate, which approximates the interest rate at which the Company could borrow on a collateralized basis with similar terms and payments and in similar economic environments. Operating lease right-of-use assets also include initial direct costs incurred and prepaid lease payments, minus any lease incentives. Lease terms include options to extend or terminate the lease when it is reasonably certain that the option will be exercised. All lease and non-lease components, principally common area maintenance costs, are combined in determining operating lease right-of-use assets and lease liabilities. For operating leases, lease expense is recognized on a straight-line basis over the lease term.</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An asset retirement obligation (“ARO”) is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cash flows underlying the obligation, if any. Over time, the liability is accreted to its present value and the capitalized cost is depreciated over the estimated useful life of the asset. The Company has recognized AROs for contractually mandated removal of leasehold improvements.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 and Hedge Activities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uses derivative financial instruments, specifically foreign currency forward contracts, to mitigate exposure from certain foreign currency risk. Certain forecasted transactions, specifically British pound sterling (“GBP”) denominated cash flows in the form of payroll and selling, general and administrative expenses are exposed to foreign currency risk. The Company monitors foreign currency exposures on a monthly basis to maximize the economic effectiveness of foreign currency hedge positions.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on the Consolidated Income Statements.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July 2022, 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one year. For cash flow hedges that qualify and are designated for hedge accounting, the change in fair value of the derivative is recorded in the net change in fair value of the effective portion of designated cash flow hedges on the Consolidated Statements of Comprehensive Income, and subsequently recognized in research and development and selling, general and administrative expenses on the Consolidated Income Statements when the hedged transaction affects earnings.</w:t>
      </w:r>
    </w:p>
    <w:p>
      <w:pPr>
        <w:spacing w:after="0" w:line="178"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 xml:space="preserve">The Company classifies all derivative assets and liabilities for designated and non-designated derivatives in prepaid expenses and other current assets and other current liabilities on the Consolidated Balance Sheets. The Company classifies cash flows from the settlement of effective cash flow hedges for designated and non-designated derivatives in the same category as the cash flows from the related hedged items in operating activities on the Consolidated Statements of Cash Flows. The foreign currency forward contracts are classified under Level 2 of the fair value hierarchy. See Note 13, </w:t>
      </w:r>
      <w:r>
        <w:rPr>
          <w:rFonts w:ascii="Arial" w:cs="Arial" w:eastAsia="Arial" w:hAnsi="Arial"/>
          <w:sz w:val="18"/>
          <w:szCs w:val="18"/>
          <w:i w:val="1"/>
          <w:iCs w:val="1"/>
          <w:color w:val="auto"/>
        </w:rPr>
        <w:t>Fair Value</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recognizes revenues for the transfer of products or services to customers in an amount that reflects the consideration to which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expects to be entitled in exchange for those products or services. The principle is achieved through the following five-step approach:</w:t>
      </w:r>
    </w:p>
    <w:p>
      <w:pPr>
        <w:spacing w:after="0" w:line="128"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Identification of the contract with the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Identification of the performance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5560" w:right="3940" w:hanging="4904"/>
        <w:spacing w:after="0" w:line="449" w:lineRule="auto"/>
        <w:tabs>
          <w:tab w:leader="none" w:pos="107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 F-17</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for the Company’s major product offerings consists of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and Other Revenue</w:t>
      </w:r>
    </w:p>
    <w:p>
      <w:pPr>
        <w:spacing w:after="0" w:line="131" w:lineRule="exact"/>
        <w:rPr>
          <w:sz w:val="20"/>
          <w:szCs w:val="20"/>
          <w:color w:val="auto"/>
        </w:rPr>
      </w:pPr>
    </w:p>
    <w:p>
      <w:pPr>
        <w:ind w:left="1080" w:right="40" w:hanging="424"/>
        <w:spacing w:after="0" w:line="271"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license </w:t>
      </w:r>
      <w:r>
        <w:rPr>
          <w:rFonts w:ascii="Arial" w:cs="Arial" w:eastAsia="Arial" w:hAnsi="Arial"/>
          <w:sz w:val="17"/>
          <w:szCs w:val="17"/>
          <w:color w:val="auto"/>
        </w:rPr>
        <w:t>— The Company generally licenses IP under non-exclusive license agreements that provide usage rights for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w:t>
      </w:r>
    </w:p>
    <w:p>
      <w:pPr>
        <w:spacing w:after="0" w:line="83"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Software sales, including development systems </w:t>
      </w:r>
      <w:r>
        <w:rPr>
          <w:rFonts w:ascii="Arial" w:cs="Arial" w:eastAsia="Arial" w:hAnsi="Arial"/>
          <w:sz w:val="18"/>
          <w:szCs w:val="18"/>
          <w:color w:val="auto"/>
        </w:rPr>
        <w:t>— Sales of software, including development systems, which are not specifically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for a given license (such as off-the-shelf software), are recognized upon delivery when control has been transferred and customer can begin to use and benefit from the license.</w:t>
      </w:r>
    </w:p>
    <w:p>
      <w:pPr>
        <w:spacing w:after="0" w:line="89"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 Services (such as training and professional and design services) that the Company provides, which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w:t>
      </w:r>
    </w:p>
    <w:p>
      <w:pPr>
        <w:spacing w:after="0" w:line="83"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Support and maintenance </w:t>
      </w:r>
      <w:r>
        <w:rPr>
          <w:rFonts w:ascii="Arial" w:cs="Arial" w:eastAsia="Arial" w:hAnsi="Arial"/>
          <w:sz w:val="18"/>
          <w:szCs w:val="18"/>
          <w:color w:val="auto"/>
        </w:rPr>
        <w:t>— Support and maintenance is a stand-ready obligation to the customer that is both provided and consumed</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simultaneously. Revenue is recognized on a straight-line basis over the period for which support and maintenance is contractually agreed pursuant to the license.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For certain IP license agreements, royalties are collected on products that incorporate the Company’s IP. Royalties are recognized on an accrual basis in the quarter in which the customer ships their products, based on the Company’s technology that it contains. The accrual is estimated using trend analysis based on market and sales data as well as customer specific financial information. As a result of estimating the amount of royalty revenue accrual in the period in which the customer sales occur using estimates based on sales trends and judgment for several key attributes, including industry estimates of expected shipments, the percentage of markets using our products, and average selling price. Adjustments to revenues are required in subsequent periods to reflect changes in estimates as new information becomes available, primarily resulting from actual amounts subsequently reported by the licensees.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Significant Judgments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Identification of the Contract with the Customer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accounts for a contract as a revenue contract when all of the following criteria are met:</w:t>
      </w:r>
    </w:p>
    <w:p>
      <w:pPr>
        <w:spacing w:after="0" w:line="131" w:lineRule="exact"/>
        <w:rPr>
          <w:sz w:val="20"/>
          <w:szCs w:val="20"/>
          <w:color w:val="auto"/>
        </w:rPr>
      </w:pPr>
    </w:p>
    <w:p>
      <w:pPr>
        <w:ind w:left="1080" w:right="30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contract has been approved (either in writing, orally or in accordance with other customary business practices) by the parties to the contract, and the parties are committed to perform their respective obligations.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can identify each party’s rights regarding goods or services to be transferred.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can identify the payment terms for the goods or services to be transferred;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Contracts have commercial substance;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is probable that the Company will collect the consideration to which it will be entitled to, in exchange for the goods or services to be transferred to the customer.</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 sometimes enters into multiple contracts with the same customer that are treated, for accounting purposes, as one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whether the amount of consideration on one contract is dependent on the performance of the other contract, or if some, or all, obligations in the contracts constitute a single performance obligation.</w:t>
      </w:r>
    </w:p>
    <w:p>
      <w:pPr>
        <w:spacing w:after="0" w:line="157"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New arrangements with existing customers can be based on either a new contract or the modification of prior contracts. The Company’s judgment in making this determination considers whether there is a connection between the new arrangement and the pre-existing contracts, whether the services under the new arrangement are highly interrelated with the products and services provided under prior contracts, and how the products and services under the new arrangement are priced.</w:t>
      </w:r>
    </w:p>
    <w:p>
      <w:pPr>
        <w:spacing w:after="0" w:line="18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Company sometimes enters into non-cancellable and non-refundable committed funds arrangement from customers, where the parties have ongoing negotiations. Judgment is required in evaluating whether all rights and obligations of the arrangement are determined and enforceable.</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Judgment is also required in determining whether collectability of substantially all of the consideration is probable. The Company assesses this through credit checks, past payment history or based on upfront payment prior to performance of the obligation(s).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Customer contracts often include various products and services as outlined in the summary of major product groups above. Typically, these products and services qualify as separate performance obligations, and a portion of the contractual value is allocated to them. Judgment is required, however, in determining whether a good or service is considered a separate performance obligation.</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When selling licenses or services, the Company frequently grants customers the choice to acquire additional rights, goods or services (for example, renewals of offerings, version extensions through term renewals, additional future products, or additional volumes of purchased license). The Company also utilizes forward looking information such as product roadmaps and other marketing materials in identifying performance obligations for Ips or version extensions of architecture IP under development or future products, and in determining if implicit promises or material right exist in certain long-term contracts.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 typical licensing arrangement involving architecture license, the Company licenses the available architecture</w:t>
      </w:r>
    </w:p>
    <w:p>
      <w:pPr>
        <w:spacing w:after="0" w:line="23" w:lineRule="exact"/>
        <w:rPr>
          <w:sz w:val="20"/>
          <w:szCs w:val="20"/>
          <w:color w:val="auto"/>
        </w:rPr>
      </w:pPr>
    </w:p>
    <w:p>
      <w:pPr>
        <w:ind w:left="120" w:right="560"/>
        <w:spacing w:after="0" w:line="255" w:lineRule="auto"/>
        <w:rPr>
          <w:sz w:val="20"/>
          <w:szCs w:val="20"/>
          <w:color w:val="auto"/>
        </w:rPr>
      </w:pPr>
      <w:r>
        <w:rPr>
          <w:rFonts w:ascii="Arial" w:cs="Arial" w:eastAsia="Arial" w:hAnsi="Arial"/>
          <w:sz w:val="18"/>
          <w:szCs w:val="18"/>
          <w:color w:val="auto"/>
        </w:rPr>
        <w:t>license and promises to provide the future version extensions of the architecture license, over the license term. A long-term architecture licensing arrangement could range from 3 years to 15 years. These version extensions typically have both specified upgrade rights and implicit rights to extensions as follows:</w:t>
      </w:r>
    </w:p>
    <w:p>
      <w:pPr>
        <w:spacing w:after="0" w:line="95" w:lineRule="exact"/>
        <w:rPr>
          <w:sz w:val="20"/>
          <w:szCs w:val="20"/>
          <w:color w:val="auto"/>
        </w:rPr>
      </w:pPr>
    </w:p>
    <w:p>
      <w:pPr>
        <w:ind w:left="1080" w:right="46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Specified upgrade rights to version extensions that are expected to be released over 2-3 years are typically covered in the Company’s product roadmaps.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hanging="424"/>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Implicit rights to version extensions that extend beyond the roadmap period are promised by the Company, as and when they are released.</w:t>
      </w:r>
    </w:p>
    <w:p>
      <w:pPr>
        <w:spacing w:after="0" w:line="24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version extensions represent promises to deliver distinct products with a discernable release pattern at specific points in time every year over the license term. When version extensions of architecture licenses are promised along with available licenses, a portion of the overall license consideration is allocated to the available architecture licenses, and the remaining portion relating to future extensions is deferred until the time those are delivered and become available for use.</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some licensing arrangements involving an implementation license, the customer licenses a right to use an available implementation license and also licenses the right to use next generation products to be developed over the license term which are released to the customers as soon as they are commercially available. The next generation products are considered distinct performance obligations.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Revenue allocated to the IP license including version extensions of an architecture license or releases of an implementation license are each recognized at a point in time upon the delivery or beginning of license term, whichever is later.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Transaction Price</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Company applies judgment when determining the amount of consideration, it expects to be entitled to in exchange for transferring promised goods or services to a customer. This includes estimates as to whether, and to what extent, subsequent concessions or payments may be granted to customers, which release customers from their obligations to pay contractual fees. In this judgment, historical trends are considered with respect to both the specific customer and broader Company trends. The Company estimates the transaction price based on the amount expected to be received for transferring the promised goods or services in the contract. Consideration payable to a customer is accounted for as a reduction of the transaction price and, therefore, of revenue unless the payment to the customer is in exchange for a distinct good or service that the customer transfers to the Company. The transaction price also excludes amounts collected on behalf of third parties such as sales taxes. The Company’s revenue arrangements may include variable consideration, including royalties. Where minimum royalties are agreed with customers and there is no uncertainty of their receipt, the amount is allocated to performance obligations as a part of the transaction price.</w:t>
      </w:r>
    </w:p>
    <w:p>
      <w:pPr>
        <w:spacing w:after="0" w:line="18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Company considers relevant facts and circumstances in assessing whether a contract contains a significant financing component. The Company has not identified significant financing components in its material revenue arrangements executed during the financial year.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Allocation of Transaction Price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Judgment is required when estimating standalone selling prices (“SSPs”). There is also judgment involved in determining whether the pricing of certain performance obligations is highly variable or uncertain.</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Other than support and maintenance, SSPs are usually not directly observable for the Company’s products and services because the Company generally does not sell its products or services on a standalone basis. The Company estimates the SSPs so that the Company allocates the transaction price to each performance obligation in an amount that depicts the amount of consideration to which the Company expects to be entitled in exchange for transferring the promised goods or services to the customer. The Company allocates royalties entirely to the licenses that give rise to them. When estimating a SSP, the Company considers available information and maximizes the use of observable inputs such as renewal pricing history for the Company’s standardized support and professional service offerings.</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For offerings that have highly variable or uncertain pricing and lack substantial direct costs to estimate based on a cost-plus margin approach, the transaction price is allocated by applying a residual approach. This is on the basis that the Company has identified SSP for other performance obligations in the same arrangement. If two or more goods or services in a contract have highly variable or uncertain pricing, then the Company applies a combination of methods to allocate transaction price, including utilizing list prices, contract prices, and effort estimates of future IPs, for initial allocation of residual amount of transaction price within such products.</w:t>
      </w:r>
    </w:p>
    <w:p>
      <w:pPr>
        <w:spacing w:after="0" w:line="18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For customer agreements related to long-term licensing of architecture IP, the Company allocates the contract value to each of the performance obligations based on an estimate of the engineering efforts required to deliver the initial version of the IP as well as related future versions, including enhancements and upgrades.</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SSPs of material rights depends on the probability of option exercise. In estimating these probabilities, judgment is utilized when considering historical exercise patterns. The SSPs are reviewed periodically or whenever facts and circumstances significantly change. These changes are applied prospectively.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Arm China</w:t>
      </w:r>
    </w:p>
    <w:p>
      <w:pPr>
        <w:spacing w:after="0" w:line="117"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Arm Technology (China) Co. Limited (“Arm China”) acts as the Company’s exclusive IP distributor in the People’s Republic of China, which, or the purposes of these financial statements, includes the Hong Kong Special Administrative Region and the Macau Special Administrative Region, but excludes Taiwan (collectively referred to as the “PRC”), under the intellectual property licensing arrangement (“IPLA”). Arm China directly contracts with end customers with discretion in establishing pricing to sublicense specified IP. The Company’s responsibility under the IPLA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The Company applies the royalty exception, under which revenue is recognized when the subsequent sale or usage occurs, assuming control of the license to which the royalty relates has transferred to the customer. Where the revenue is derived as a percentage of the license fee of Arm China, the Company categorizes that portion as license revenue while the other portion, which represents the Company’s share of Arm China’s royalties, is categorized as royalties.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 and Receivables</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Company recognizes accounts receivable in full when it has the contractual right to invoice the customer and begins satisfying the performance obligation over the term of the contract. Judgment is required to determine whether a right to consideration is unconditional and thus qualifies as a receivable. Contract assets are recognized as the performance obligations are satisfied and the Company does not have the contractual right to invoice. Accrued royalties are presented as accrued income in accounts receivable, net on the Consolidated Balance Sheets.</w:t>
      </w:r>
    </w:p>
    <w:p>
      <w:pPr>
        <w:spacing w:after="0" w:line="15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Contract liabilities primarily reflect invoices due, or payments received in advance of revenue recognition. Typically, the Company invoices either all or a substantial portion of the fees for IP licenses upfront on the effective date of the contract. Periodic fixed fees for software support services, and other multi-period agreements are typically invoiced in advance.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Customer deposits primarily relate to payments received from customers which could be refundable pursuant to the terms of the contract and are in other current liabilities on the Consolidated Balance Sheets.</w:t>
      </w:r>
    </w:p>
    <w:p>
      <w:pPr>
        <w:spacing w:after="0" w:line="34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Payment terms and conditions vary by contract type, although terms generally include a requirement of payment within 60 days. In instances where the timing of revenue recognition differs from the timing of invoicing, the Company has determined that its contracts generally do not include a significant financing component. The primary purpose of the Company’s invoicing terms is to provide customers with simplified and predictable ways of purchasing products and services, such as invoicing at the beginning of a license term with revenue recognized over the contract period, and not to receive financing from customers. Any potential financing fees are considered insignificant in the context of the Company’s contracts.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Current Expected Credit Losses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Trade receivables are stated at their net realizable value. The allowance for credit losses reflects the Company’s best estimate of expected credit losses of the receivable portfolio determined on the basis of historical experience, current information, and forecasts of future economic conditions. In developing the estimate for expected credit losses, accounts receivable is segmented into pools of assets depending on market (China versus international) and delinquency status, and fixed reserve percentages are established for each pool of accounts receivables. To determine the reserve percentages for each pool of accounts receivables, the Company considers its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are any changes in the economic environment that would indicate the established reserve percentages should be adjusted and are considered on a regional basis to reflect more geographic-specific metrics. Please refer to Note 3, </w:t>
      </w:r>
      <w:r>
        <w:rPr>
          <w:rFonts w:ascii="Arial" w:cs="Arial" w:eastAsia="Arial" w:hAnsi="Arial"/>
          <w:sz w:val="17"/>
          <w:szCs w:val="17"/>
          <w:i w:val="1"/>
          <w:iCs w:val="1"/>
          <w:color w:val="auto"/>
        </w:rPr>
        <w:t>Revenue</w:t>
      </w:r>
      <w:r>
        <w:rPr>
          <w:rFonts w:ascii="Arial" w:cs="Arial" w:eastAsia="Arial" w:hAnsi="Arial"/>
          <w:sz w:val="17"/>
          <w:szCs w:val="17"/>
          <w:color w:val="auto"/>
        </w:rPr>
        <w:t>, for the summary of the movement in the allowance for current expected credit losses.</w:t>
      </w:r>
    </w:p>
    <w:p>
      <w:pPr>
        <w:spacing w:after="0" w:line="18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Additionally, write-offs and recoveries of customer receivables are tracked against collections on a quarterly basis to determine whether the reserve percentages remain appropriate. When management becomes aware of certain customer-specific factors that impact credit risk, specific allowances for these known troubled accounts are recorded. Accounts receivables are written off after all reasonable means to collect the full amount (including litigation, where appropriate) are exhausted. For the years ended March 31, 2023, 2022 and 2021, write-offs and recoveries of customer receivables were immaterial to the consolidated financial statements.</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recognizes an allowance for losses on contract assets based on a similar approach used for receivables under the current expected credit loss model. As of March 31, 2023 and 2022, the loss allowance for contract assets was immaterial.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Restricted share units (“RSU”) were granted to employees, certain of our executive officers, and non-executive directors of the Company and require continuous service through the vesting date. Phantom shares (“Phantom Shares”) were only granted to certain of our executive officers. Majority of RSUs are granted by tranches either with a fixed number of awards or with fixed monetary amounts known at inception. Depending on the type of award, RSUs may require the achievement of certain performance conditions, market-conditions and for certain awards, vesting occurs on the earliest of the following: (1) the occurrence of one of various events comprising a change in control of the Company, (2) an initial public offering of the Company’s ordinary shares, and (3) the passage of time. The number of RSUs that vest is determined by the achievement of market, performance and service conditions. The market condition target is tied to the valuation of the Company upon vesting. At the discretion of the Company’s remuneration committee, each RSU is settled in cash or converts into ordinary shares on the vesting date.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expenses share-based compensation over the requisite service period of the awards, which is generally equivalent to the vesting term.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cost is recorded only for those awards expected to vest.</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fair value of RSUs is determined on the date of grant for equity-classified awards, and at the end of each reporting period for liability-classified awards, using Monte Carlo simulations or the discounted cash flow approach. The fair value of Phantom Shares is determined on the date of grant and at the end of each reporting period based on the share price of the Company’s ultimate parent, SoftBank.</w:t>
      </w:r>
    </w:p>
    <w:p>
      <w:pPr>
        <w:spacing w:after="0" w:line="18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Company classifies those awards in which the Company has the option, pursuant to the plan terms, and intends to settle in cash or equity, as liability-classified or equity-classified awards, respectively. Phantom Shares and certain RSUs are liability-classified and are remeasured at the end of each reporting period through the date of settlement so that the expense recognized for each award is equivalent to the amount to be paid in cash. Changes in the fair value of liability-classified RSUs are recorded in the income statement over the vesting period of the award. Equity-classified RSUs are recognized using the straight-line method over the service period adjusted for estimated forfeitures.</w:t>
      </w:r>
    </w:p>
    <w:p>
      <w:pPr>
        <w:spacing w:after="0" w:line="17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 change in control or an initial public offering is generally not considered probable until it has occurred. Accordingly, as of the balance sheet date, those RSUs that are subject to vesting on the earliest of (1) change of control, (2) initial public offering, or (3) passage of time, are expected to vest and be settled in cash upon the passage of time. For liability-classified awards, the weighted average fair value of the RSUs was measured at each reporting date using the Monte Carlo simulation model or a discounted cash flow approach. Similarly, the fair value for equity-classified awards was measured at the grant date using the discounted cash flow approach.</w:t>
      </w:r>
    </w:p>
    <w:p>
      <w:pPr>
        <w:spacing w:after="0" w:line="188"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For the fiscal year ended March 31, 2021, the Company used the discounted cash flow approach based on the expected value of the Company as a result of a business combination which was considered likely. For fiscal years ended March 31, 2023 and 2022, the Company used the Monte Carlo simulation model, the income approach and/or market-calibration approach based on comparable publicly traded companies in similar lines of businesses to measure the RSUs. The Monte Carlo simulation model simulates the Company’s equity value at an assumed listing exit event in order to determine the RSU vesting percentage. The model simulates the RSU vesting percentage over numerous iterations, and the average of all iterations is determined to be the fair value of an RSU. The model then discounts the future value of the RSU at the assumed listing exit event date back to the valuation date based on the relevant risk-free interest rate. The Monte Carlo simulation model incorporates various assumptions such as expected stock price volatility until a liquidity event, expected dividend yield, risk-free interest rate, and expected time to complete an initial public offering.</w:t>
      </w:r>
    </w:p>
    <w:p>
      <w:pPr>
        <w:spacing w:after="0" w:line="165"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 granted Phantom Shares and executive RSUs to certain of our executive officers and are subject to continuous service and vest upon meeting certain strategic performance conditions of the Company. Phantom Shares and executive RSUs are liability-classified and are expensed when the performance targets are considered probable of being achieved. Executive RSUs primarily are based on fixed monetary amounts that could be converted into a variable number of shares based on the closing share price of the Company upon an initial public offering. Any obligations that are based predominantly on fixed monetary amounts that are known at inception and are to be settled with a variable number of the Company’s shares, are liability-classified with compensation cost recognized ratably over the requisite service period.</w:t>
      </w:r>
    </w:p>
    <w:p>
      <w:pPr>
        <w:spacing w:after="0" w:line="178"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At the grant date of the RSUs, the Company was private and its ordinary shares were not listed on a public stock exchange. Therefore, the Company’s Board of Directors exercised its reasonable judgment and considered numerous objective and subjective factors to determine the best estimate of fair value of the Company’s ordinary shares underlying share-based compensation awards, including:</w:t>
      </w:r>
    </w:p>
    <w:p>
      <w:pPr>
        <w:spacing w:after="0" w:line="89" w:lineRule="exact"/>
        <w:rPr>
          <w:sz w:val="20"/>
          <w:szCs w:val="20"/>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contemporaneous independent third-party valuations of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financial condition, results of operations, and capital resources;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right="18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lack of marketability of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estimates of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market performance and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status of the Company’s development, product introduction, and sales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industry outlook and other information, such as market growth and volume and macro-economic events;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the Company’s business.</w:t>
      </w:r>
    </w:p>
    <w:p>
      <w:pPr>
        <w:spacing w:after="0" w:line="225" w:lineRule="exact"/>
        <w:rPr>
          <w:sz w:val="20"/>
          <w:szCs w:val="20"/>
          <w:color w:val="auto"/>
        </w:rPr>
      </w:pPr>
    </w:p>
    <w:p>
      <w:pPr>
        <w:ind w:left="120" w:right="2840"/>
        <w:spacing w:after="0" w:line="263" w:lineRule="auto"/>
        <w:rPr>
          <w:sz w:val="20"/>
          <w:szCs w:val="20"/>
          <w:color w:val="auto"/>
        </w:rPr>
      </w:pPr>
      <w:r>
        <w:rPr>
          <w:rFonts w:ascii="Arial" w:cs="Arial" w:eastAsia="Arial" w:hAnsi="Arial"/>
          <w:sz w:val="18"/>
          <w:szCs w:val="18"/>
          <w:color w:val="auto"/>
        </w:rPr>
        <w:t>To determine the fair value of ordinary shares, the Company first estimated the enterprise value and then allocated that enterprise value to ordinary shares and ordinary share equivalents. The Company’s enterprise value was estimated using the income and market-calibration approaches.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the Company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Monte Carlo simulations incorporate highly subjective assumptions, such as stock price volatility and expected volatility until a liquidity event. Changes in highly subjective assumptions could significantly impact share-based compensation cost. Since the Company’s ordinary shares were not publicly traded, the computation of expected volatility was based on the average of historical and implied volatilities over the expected term of the awards of a representative peer group of publicly traded entities. Other assumptions included expected term, risk-free interest rate and dividend yield. The risk-free interest rate was based on zero-coupon U.S. Treasury bond rates corresponding to the expected term of the awards. Dividend assumptions were based on historical experience.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estimates forfeitures based on employee level, economic conditions, time remaining to vest and historical forfeiture experience.</w:t>
      </w:r>
    </w:p>
    <w:p>
      <w:pPr>
        <w:spacing w:after="0" w:line="1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Cost of sales expenses consist primarily of employee-related expenses and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and other development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and other corporate-related expenses.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Disposal, Restructuring and Other Operating Expenses,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Disposal expenses consist primarily of transaction costs, such as legal and professional fees, relating to various disposal activities.</w:t>
      </w:r>
    </w:p>
    <w:p>
      <w:pPr>
        <w:spacing w:after="0" w:line="225"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 xml:space="preserve">The Company receives government grants to compensate for its research activities. GAAP does not contain authoritative guidance for incentives and grants provided by governmental entities to a for-profit entity. Absent authoritative guidance, interpretative guidance issued and commonly applied by financial statement preparers allows for the selection of accounting policies amongst acceptable alternatives. Based on facts and circumstances, the Company determined it most appropriate to account for the government grants received by analogy to International Accounting Standards 20, </w:t>
      </w:r>
      <w:r>
        <w:rPr>
          <w:rFonts w:ascii="Arial" w:cs="Arial" w:eastAsia="Arial" w:hAnsi="Arial"/>
          <w:sz w:val="17"/>
          <w:szCs w:val="17"/>
          <w:i w:val="1"/>
          <w:iCs w:val="1"/>
          <w:color w:val="auto"/>
        </w:rPr>
        <w:t xml:space="preserve">Accounting for Government Grants and Disclosure of Government Assistance </w:t>
      </w:r>
      <w:r>
        <w:rPr>
          <w:rFonts w:ascii="Arial" w:cs="Arial" w:eastAsia="Arial" w:hAnsi="Arial"/>
          <w:sz w:val="17"/>
          <w:szCs w:val="17"/>
          <w:color w:val="auto"/>
        </w:rPr>
        <w:t>(“IAS 20”).</w:t>
      </w:r>
    </w:p>
    <w:p>
      <w:pPr>
        <w:spacing w:after="0" w:line="176"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Under the provisions of IAS 20, a government grant is recognized when there is reasonable assurance the Company will meet the terms for receiving and realizing the benefit of the grant. IAS 20 does not define “reasonable assurance,” however, based on certain interpretations, it is analogous to “probable” as defined under GAAP, which is the definition the Company has applied to its government grants received. Under IAS 20, government grants are recognized in earnings on a systematic basis over the periods in which the Company</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recognizes costs for which the grant is intended to compensate (i.e. qualified expenses). Further, IAS 20 permits for the recognition in earnings either separately under a general heading such as other income, or as a reduction of the related expenses. The Company has elected to recognize the benefit as a reduction of the related expenses included in either research and development expenses or income tax expense on the Consolidated Income Statements. For the fiscal years ended March 31, 2023, 2022 and 2021, the government grant benefit recognized was $83.0 million, $84.3 million and $94.4 million, respectively.</w:t>
      </w:r>
    </w:p>
    <w:p>
      <w:pPr>
        <w:spacing w:after="0" w:line="18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government grant benefit received includes a grant from Innovate U.K. for work connected to the creation of a new centrally secured technology platform prototype. For the years ended March 31, 2023, 2022 and 2021, the Company recorded a reduction to research and development expenses from this grant of $2.6 million, $15.3 million and $23.8 million, respectively. The maximum total value of the Innovate U.K. contract is $44.9 million.</w:t>
      </w:r>
    </w:p>
    <w:p>
      <w:pPr>
        <w:spacing w:after="0" w:line="14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benefits in the U.K. from His Majesty’s Revenue &amp; Customs (“HMRC”) research and development expenditure (“RDEC”), which provides relief against U.K. corporation tax. Based on criteria established by HMRC a portion of the Company’s expenditures incurred on research and development activities are eligible for RDEC relief. For the years ended March 31, 2023, 2022 and 2021 the Company recorded a relief of $64.0 million, $54.4 million and $54.6 million,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Company computes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currently enacted tax rates that apply to taxable income in effect for the years in which those tax assets are expected to be realized or settled.</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the Company determines it is more likely than not that it will not generate sufficient taxable income to realize the value of some or all deferred tax assets (net of deferred tax liabilities), the Company will establish a valuation allowance offsetting the amount it does not expect to realize. The Company performs this analysis each reporting period and reduces the measurement of deferred taxes if the likelihood the Company will realize them becomes uncertain.</w:t>
      </w:r>
    </w:p>
    <w:p>
      <w:pPr>
        <w:spacing w:after="0" w:line="18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Deferred tax assets the Company records each period depend primarily on the ability to generate future taxable income. Each period, the Company evaluates the need for a valuation allowance against the deferred tax assets and, if necessary, adjusts the valuation allowance so that net deferred tax assets are recorded only to the extent the Company concludes it is more likely than not that these deferred tax assets will be realized. If the outlook for future taxable income changes significantly, the Company’s assessment of the need for, and the amount of, a valuation allowance may also change.</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is also required to evaluate and quantify other sources of taxable income, such as the possible reversal of future deferred tax liabilities and the implementation of tax planning strategies. Evaluating and quantifying these amounts is difficult and involves significant judgment, based on all of the available evidence and assumptions about future activities.</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Tax benefits from uncertain tax positions are recognized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Interest and penalties related to unrecognized tax benefits are recognized within income tax (expense) benefit on the Consolidated Income Statements.</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 Attributable to Ordinary Shareholders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Basic income (loss) per ordinary share is computed by dividing net income attributable to ordinary shareholders by the weighted average number of ordinary shares outstanding during the period. Diluted earnings per share is computed by dividing net income (loss) attributable to ordinary shareholders by the weighted average number of ordinary shares and potentially dilutive ordinary shares outstanding during the period. Potentially dilutive ordinary shares whose effect would have been antidilutive are excluded from the computation of diluted earnings per ordinary share.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such as a distribution to shareholders of the Company, results of operations of a business would not be recorded as a discontinued operation until the period in which the business is actually disposed of other than by sale.</w:t>
      </w:r>
    </w:p>
    <w:p>
      <w:pPr>
        <w:spacing w:after="0" w:line="164"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Following a strategic decision to place greater focus on the Company’s core technology licensing business, a decision was made to distribute or sell certain components of the Company’s Internet of Things business. As a result, in June 2021, the Company completed a pro rata distribution of its controlling stake in Treasure Data, Inc. and its subsidiaries (“Treasure Data”) to the immediate shareholders of the Company. In November 2021, the Company sold 100% of its ownership in Pelion IOT Limited and its subsidiaries (“IoTP”) to the immediate shareholders of the Company in exchange for $12.0 million in cash consideration. The distribution of Treasure Data and sale of IoTP were accounted for as discontinued operations.</w:t>
      </w:r>
    </w:p>
    <w:p>
      <w:pPr>
        <w:spacing w:after="0" w:line="16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Revenue from IoTP and Treasure Data reported in loss on discontinued operations before income taxes on the Consolidated Income Statements relates to certain IP available through cloud-based infrastructure where the customer does not have the right to terminate the hosting contract. Under such arrangements, customers do not have the right to take possession of the software to run on their own IT infrastructure, nor do they have the right to engage a third-party provider to host and manage the software. Revenue for these arrangements is recognized over time as the services are performed.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specified otherwise, the accompanying notes to the consolidated financial statements exclude financial results of discontinued operations.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Revision to Previously Issued Financial Statements</w:t>
      </w:r>
    </w:p>
    <w:p>
      <w:pPr>
        <w:spacing w:after="0" w:line="11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Company has identified certain immaterial errors in the consolidated statements of cash flows and a footnote to the consolidated financial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corrections to the consolidated statements of cash flows include:</w:t>
      </w:r>
    </w:p>
    <w:p>
      <w:pPr>
        <w:spacing w:after="0" w:line="252" w:lineRule="exact"/>
        <w:rPr>
          <w:sz w:val="20"/>
          <w:szCs w:val="20"/>
          <w:color w:val="auto"/>
        </w:rPr>
      </w:pPr>
    </w:p>
    <w:p>
      <w:pPr>
        <w:ind w:left="1080" w:right="22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presentation of cash flows for the purchase and the proceeds from maturity of short-term investments should be presented on a gross basis rather than the net basis in investing activities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presentation of cash flows for a portion of the payments to purchase intangible assets was determined to be presented as financing cash outflow rather than investing activities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following table presents the impact of the corrections to the consolidated statements of cash flows for the fiscal years ended March 31, 2022 and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gridSpan w:val="2"/>
          </w:tcPr>
          <w:p>
            <w:pPr>
              <w:ind w:left="900"/>
              <w:spacing w:after="0"/>
              <w:rPr>
                <w:sz w:val="20"/>
                <w:szCs w:val="20"/>
                <w:color w:val="auto"/>
              </w:rPr>
            </w:pPr>
            <w:r>
              <w:rPr>
                <w:rFonts w:ascii="Arial" w:cs="Arial" w:eastAsia="Arial" w:hAnsi="Arial"/>
                <w:sz w:val="14"/>
                <w:szCs w:val="14"/>
                <w:b w:val="1"/>
                <w:bCs w:val="1"/>
                <w:color w:val="auto"/>
              </w:rPr>
              <w:t>Consolidated Statements of Cash Flows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560" w:type="dxa"/>
            <w:vAlign w:val="bottom"/>
            <w:gridSpan w:val="2"/>
          </w:tcPr>
          <w:p>
            <w:pPr>
              <w:ind w:left="1260"/>
              <w:spacing w:after="0"/>
              <w:rPr>
                <w:sz w:val="20"/>
                <w:szCs w:val="20"/>
                <w:color w:val="auto"/>
              </w:rPr>
            </w:pPr>
            <w:r>
              <w:rPr>
                <w:rFonts w:ascii="Arial" w:cs="Arial" w:eastAsia="Arial" w:hAnsi="Arial"/>
                <w:sz w:val="14"/>
                <w:szCs w:val="14"/>
                <w:b w:val="1"/>
                <w:bCs w:val="1"/>
                <w:color w:val="auto"/>
              </w:rPr>
              <w:t>(Amounts in USD, millions)</w:t>
            </w:r>
          </w:p>
        </w:tc>
        <w:tc>
          <w:tcPr>
            <w:tcW w:w="240" w:type="dxa"/>
            <w:vAlign w:val="bottom"/>
          </w:tcPr>
          <w:p>
            <w:pPr>
              <w:spacing w:after="0"/>
              <w:rPr>
                <w:sz w:val="16"/>
                <w:szCs w:val="16"/>
                <w:color w:val="auto"/>
              </w:rPr>
            </w:pPr>
          </w:p>
        </w:tc>
        <w:tc>
          <w:tcPr>
            <w:tcW w:w="2340" w:type="dxa"/>
            <w:vAlign w:val="bottom"/>
            <w:gridSpan w:val="6"/>
          </w:tcPr>
          <w:p>
            <w:pPr>
              <w:ind w:left="160"/>
              <w:spacing w:after="0"/>
              <w:rPr>
                <w:sz w:val="20"/>
                <w:szCs w:val="20"/>
                <w:color w:val="auto"/>
              </w:rPr>
            </w:pPr>
            <w:r>
              <w:rPr>
                <w:rFonts w:ascii="Arial" w:cs="Arial" w:eastAsia="Arial" w:hAnsi="Arial"/>
                <w:sz w:val="14"/>
                <w:szCs w:val="14"/>
                <w:b w:val="1"/>
                <w:bCs w:val="1"/>
                <w:color w:val="auto"/>
                <w:w w:val="94"/>
              </w:rPr>
              <w:t>For the year ended March 31, 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8"/>
          </w:tcPr>
          <w:p>
            <w:pPr>
              <w:ind w:left="160"/>
              <w:spacing w:after="0"/>
              <w:rPr>
                <w:sz w:val="20"/>
                <w:szCs w:val="20"/>
                <w:color w:val="auto"/>
              </w:rPr>
            </w:pPr>
            <w:r>
              <w:rPr>
                <w:rFonts w:ascii="Arial" w:cs="Arial" w:eastAsia="Arial" w:hAnsi="Arial"/>
                <w:sz w:val="14"/>
                <w:szCs w:val="14"/>
                <w:b w:val="1"/>
                <w:bCs w:val="1"/>
                <w:color w:val="auto"/>
                <w:w w:val="94"/>
              </w:rPr>
              <w:t>For the year ended March 31, 2021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4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Adjustment</w:t>
            </w:r>
          </w:p>
        </w:tc>
        <w:tc>
          <w:tcPr>
            <w:tcW w:w="6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As revised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Adjustment</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As revised</w:t>
            </w:r>
          </w:p>
        </w:tc>
        <w:tc>
          <w:tcPr>
            <w:tcW w:w="120" w:type="dxa"/>
            <w:vAlign w:val="bottom"/>
          </w:tcPr>
          <w:p>
            <w:pPr>
              <w:spacing w:after="0"/>
              <w:rPr>
                <w:sz w:val="12"/>
                <w:szCs w:val="12"/>
                <w:color w:val="auto"/>
              </w:rPr>
            </w:pPr>
          </w:p>
        </w:tc>
      </w:tr>
      <w:tr>
        <w:trPr>
          <w:trHeight w:val="209"/>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Proceeds from maturity of short-term investments</w:t>
            </w:r>
          </w:p>
        </w:tc>
        <w:tc>
          <w:tcPr>
            <w:tcW w:w="2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198"/>
        </w:trPr>
        <w:tc>
          <w:tcPr>
            <w:tcW w:w="45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cash used for investing</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(619)</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(340)</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intangible asset obligations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(789)</w:t>
            </w:r>
          </w:p>
        </w:tc>
      </w:tr>
    </w:tbl>
    <w:p>
      <w:pPr>
        <w:spacing w:after="0" w:line="183"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In addition, within the disaggregation of revenue in footnote 3, the Company identified an overstatement of over time revenue and corresponding understatement of point in time revenue. The Company revised the disclosure to decrease over time revenue and increase point in time revenue by $184 million and $50 million for fiscal year ended March 31, 2022, and 2021 respectively.</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These errors had no impact on the amounts previously reported in the Company’s consolidated income statements, consolidated statements of comprehensive income, consolidated balance sheets and consolidated statements of shareholders’ equity. Management has evaluated the materiality of these errors quantitatively and qualitatively, including the impact of the errors on cash flow activities, and has concluded that the corrections of these errors are immaterial to the consolidated financial statements as a whole.</w:t>
      </w:r>
    </w:p>
    <w:p>
      <w:pPr>
        <w:spacing w:after="0" w:line="331"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i w:val="1"/>
          <w:iCs w:val="1"/>
          <w:color w:val="auto"/>
        </w:rPr>
        <w:t xml:space="preserve">Derivatives and Hedging (Topic 815), Targeted Improvements to Accounting for Hedging: </w:t>
      </w:r>
      <w:r>
        <w:rPr>
          <w:rFonts w:ascii="Arial" w:cs="Arial" w:eastAsia="Arial" w:hAnsi="Arial"/>
          <w:sz w:val="17"/>
          <w:szCs w:val="17"/>
          <w:color w:val="auto"/>
        </w:rPr>
        <w:t>In August 2017, the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issued ASU 2017-12 which requires expanded hedge accounting for both non-financial and financial risk components and refines the measurement of hedge results to better reflect an entity’s hedging strategies. The updated standard also amends presentation and disclosure requirements and changes how entities assess hedge effectiveness. The Company adopted ASU 2017-12 utilizing the modified retrospective transition method beginning April 1, 2020. Adoption had no material impact on the Company’s consolidated financial statements.</w:t>
      </w:r>
    </w:p>
    <w:p>
      <w:pPr>
        <w:spacing w:after="0" w:line="17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8"/>
          <w:szCs w:val="18"/>
          <w:color w:val="auto"/>
        </w:rPr>
        <w:t>In August 2018, FASB issued ASU 2018-15 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ASU beginning April 1, 2020. Adoption had no material impact on the Company’s consolidated financial statements.</w:t>
      </w:r>
    </w:p>
    <w:p>
      <w:pPr>
        <w:spacing w:after="0" w:line="19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 xml:space="preserve">Reference Rate Reform (Topic 848), Facilitation of the Effects of Reference Rate Reform on Financial Reporting: </w:t>
      </w:r>
      <w:r>
        <w:rPr>
          <w:rFonts w:ascii="Arial" w:cs="Arial" w:eastAsia="Arial" w:hAnsi="Arial"/>
          <w:sz w:val="18"/>
          <w:szCs w:val="18"/>
          <w:color w:val="auto"/>
        </w:rPr>
        <w:t>In March 2020,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2020-04 which provides temporary optional expedients and exceptions to</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GAAP guidance on contract modifications to ease the financial reporting burdens related to the expected market transition from the London Interbank Offered Rate to alternative reference rates. Subsequently, in January 2021, FASB issued ASU 2021-01, Reference Rate Reform (Topic 848): Scope, which refines the scope of Topic 848 and clarifies some of its guidance. The Company adopted this ASU beginning April 1, 2020 and may be applied through March 31, 2022. Adoption had no material impact on the Company’s consolidated financial statements.</w:t>
      </w:r>
    </w:p>
    <w:p>
      <w:pPr>
        <w:spacing w:after="0" w:line="17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 xml:space="preserve">Debt—Debt with Conversion and Other Options (Subtopic 470-20) and Derivatives and Hedging— Contracts in Entity’s Own Equity (Subtopic 815-40), Accounting for Convertible Instruments and Contracts in an Entity’s Own Equity: </w:t>
      </w:r>
      <w:r>
        <w:rPr>
          <w:rFonts w:ascii="Arial" w:cs="Arial" w:eastAsia="Arial" w:hAnsi="Arial"/>
          <w:sz w:val="17"/>
          <w:szCs w:val="17"/>
          <w:color w:val="auto"/>
        </w:rPr>
        <w:t>In August 2020, FASB issued ASU 2020-06 which reduces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accounting models for convertible debt instruments and convertible preferred stock. For convertible instruments with conversion features that are not required to be accounted for as derivatives under Topic 815 or that do not result in substantial premiums accounted for as paid-in capital, the embedded conversion features no longer are separated from the host contract. ASU 2020-06 also removes certain conditions that should be considered in the derivatives scope exception evaluation under Subtopic 815-40, Derivatives and Hedging—Contracts in Entity’s Own Equity, and clarify the scope and certain requirements under Subtopic 815-40. In addition, ASU 2020-06 improves the guidance related to the disclosures and earnings per share for convertible instruments and contracts in entity’s own equity. The Company adopted this ASU beginning April 1, 2020. Adoption had no material impact on the Company’s consolidated financial statements.</w:t>
      </w:r>
    </w:p>
    <w:p>
      <w:pPr>
        <w:spacing w:after="0" w:line="18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i w:val="1"/>
          <w:iCs w:val="1"/>
          <w:color w:val="auto"/>
        </w:rPr>
        <w:t xml:space="preserve">Business Combinations (Topic 805), Accounting for Contract Assets and Contract Liabilities from Contracts with Customers: </w:t>
      </w:r>
      <w:r>
        <w:rPr>
          <w:rFonts w:ascii="Arial" w:cs="Arial" w:eastAsia="Arial" w:hAnsi="Arial"/>
          <w:sz w:val="18"/>
          <w:szCs w:val="18"/>
          <w:color w:val="auto"/>
        </w:rPr>
        <w:t>In October 2021,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2021-08, which improves the accounting for contract assets and contract liabilities from revenue contracts with customers in a business combination (Topic 805). The ASU improves comparability for both the recognition and measurement of acquired revenue contracts with customers at the date of and after a business combination. The Company adopted this ASU beginning April 1, 2022. Adoption had no material impact on the Company’s consolidated financial statements.</w:t>
      </w:r>
    </w:p>
    <w:p>
      <w:pPr>
        <w:spacing w:after="0" w:line="188"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i w:val="1"/>
          <w:iCs w:val="1"/>
          <w:color w:val="auto"/>
        </w:rPr>
        <w:t>Government Assistance (Topic 832), Disclosures by Business Entities about Government Assistance</w:t>
      </w:r>
      <w:r>
        <w:rPr>
          <w:rFonts w:ascii="Arial" w:cs="Arial" w:eastAsia="Arial" w:hAnsi="Arial"/>
          <w:sz w:val="17"/>
          <w:szCs w:val="17"/>
          <w:color w:val="auto"/>
        </w:rPr>
        <w:t>: In November 2021, FASB issued ASU 2021-10,</w:t>
      </w:r>
      <w:r>
        <w:rPr>
          <w:rFonts w:ascii="Arial" w:cs="Arial" w:eastAsia="Arial" w:hAnsi="Arial"/>
          <w:sz w:val="17"/>
          <w:szCs w:val="17"/>
          <w:i w:val="1"/>
          <w:iCs w:val="1"/>
          <w:color w:val="auto"/>
        </w:rPr>
        <w:t xml:space="preserve"> </w:t>
      </w:r>
      <w:r>
        <w:rPr>
          <w:rFonts w:ascii="Arial" w:cs="Arial" w:eastAsia="Arial" w:hAnsi="Arial"/>
          <w:sz w:val="17"/>
          <w:szCs w:val="17"/>
          <w:color w:val="auto"/>
        </w:rPr>
        <w:t>which created ASC 832. ASC 832 requires certain disclosures about transactions with a government that are accounted for by analogizing to a grant or contribution accounting model. The amendments will require disclosure of information about the nature of the transactions and the related accounting policy used to account for the transactions, information regarding the line items within the consolidated financial statements that are affected by the transactions, and significant terms and conditions of the transactions. The Company adopted this ASU beginning April 1, 2022. Adoption had no material impact on the Company’s consolidated financial statements.</w:t>
      </w:r>
    </w:p>
    <w:p>
      <w:pPr>
        <w:spacing w:after="0" w:line="322"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disaggregated revenues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Fiscal Years Ended March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68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8"/>
          </w:tcPr>
          <w:p>
            <w:pPr>
              <w:jc w:val="right"/>
              <w:ind w:right="480"/>
              <w:spacing w:after="0" w:line="142" w:lineRule="exact"/>
              <w:rPr>
                <w:sz w:val="20"/>
                <w:szCs w:val="20"/>
                <w:color w:val="auto"/>
              </w:rPr>
            </w:pPr>
            <w:r>
              <w:rPr>
                <w:rFonts w:ascii="Arial" w:cs="Arial" w:eastAsia="Arial" w:hAnsi="Arial"/>
                <w:sz w:val="14"/>
                <w:szCs w:val="14"/>
                <w:b w:val="1"/>
                <w:bCs w:val="1"/>
                <w:color w:val="auto"/>
              </w:rPr>
              <w:t>External Customers</w:t>
            </w:r>
          </w:p>
        </w:tc>
        <w:tc>
          <w:tcPr>
            <w:tcW w:w="200" w:type="dxa"/>
            <w:vAlign w:val="bottom"/>
          </w:tcPr>
          <w:p>
            <w:pPr>
              <w:spacing w:after="0"/>
              <w:rPr>
                <w:sz w:val="12"/>
                <w:szCs w:val="12"/>
                <w:color w:val="auto"/>
              </w:rPr>
            </w:pPr>
          </w:p>
        </w:tc>
        <w:tc>
          <w:tcPr>
            <w:tcW w:w="1820" w:type="dxa"/>
            <w:vAlign w:val="bottom"/>
            <w:gridSpan w:val="7"/>
          </w:tcPr>
          <w:p>
            <w:pPr>
              <w:jc w:val="center"/>
              <w:ind w:right="200"/>
              <w:spacing w:after="0" w:line="142" w:lineRule="exact"/>
              <w:rPr>
                <w:sz w:val="20"/>
                <w:szCs w:val="20"/>
                <w:color w:val="auto"/>
              </w:rPr>
            </w:pPr>
            <w:r>
              <w:rPr>
                <w:rFonts w:ascii="Arial" w:cs="Arial" w:eastAsia="Arial" w:hAnsi="Arial"/>
                <w:sz w:val="14"/>
                <w:szCs w:val="14"/>
                <w:b w:val="1"/>
                <w:bCs w:val="1"/>
                <w:color w:val="auto"/>
                <w:w w:val="92"/>
              </w:rPr>
              <w:t>Related Parties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96"/>
              </w:rPr>
              <w:t>2022</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w w:val="96"/>
              </w:rPr>
              <w:t>2022</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2022</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License and Other Revenue</w:t>
            </w:r>
            <w:r>
              <w:rPr>
                <w:rFonts w:ascii="Arial" w:cs="Arial" w:eastAsia="Arial" w:hAnsi="Arial"/>
                <w:sz w:val="23"/>
                <w:szCs w:val="23"/>
                <w:color w:val="auto"/>
                <w:vertAlign w:val="superscript"/>
              </w:rPr>
              <w:t>(1)</w:t>
            </w: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$435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$239</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$140</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$1,004</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$1,141</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Royalty Revenue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1,317</w:t>
            </w: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1,005</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219</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245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1,675</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1,313</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2,025</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2,219</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484</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448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2,679</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2,703</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20" w:hanging="424"/>
        <w:spacing w:after="0" w:line="277" w:lineRule="auto"/>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Includes over-time revenues of $100 million, $102 million, and $197 million and point-in-time revenues of $904 million, $1,039 million, and $517 million for the fiscal years ended March 31, 2023, 2022, and 2021, respectively.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components of accounts receivable, net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92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59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2023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70"/>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66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625</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Royalty receivables</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gross receivables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0"/>
              </w:rPr>
              <w:t>1,164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Allowance for current expected credit losses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accounts receivables,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0"/>
              </w:rPr>
              <w:t>1,124</w:t>
            </w:r>
          </w:p>
        </w:tc>
        <w:tc>
          <w:tcPr>
            <w:tcW w:w="0" w:type="dxa"/>
            <w:vAlign w:val="bottom"/>
          </w:tcPr>
          <w:p>
            <w:pPr>
              <w:spacing w:after="0"/>
              <w:rPr>
                <w:sz w:val="1"/>
                <w:szCs w:val="1"/>
                <w:color w:val="auto"/>
              </w:rPr>
            </w:pPr>
          </w:p>
        </w:tc>
      </w:tr>
      <w:tr>
        <w:trPr>
          <w:trHeight w:val="20"/>
        </w:trPr>
        <w:tc>
          <w:tcPr>
            <w:tcW w:w="7980" w:type="dxa"/>
            <w:vAlign w:val="bottom"/>
            <w:gridSpan w:val="5"/>
            <w:vMerge w:val="restart"/>
          </w:tcPr>
          <w:p>
            <w:pPr>
              <w:spacing w:after="0"/>
              <w:rPr>
                <w:sz w:val="20"/>
                <w:szCs w:val="20"/>
                <w:color w:val="auto"/>
              </w:rPr>
            </w:pPr>
            <w:r>
              <w:rPr>
                <w:rFonts w:ascii="Arial" w:cs="Arial" w:eastAsia="Arial" w:hAnsi="Arial"/>
                <w:sz w:val="18"/>
                <w:szCs w:val="18"/>
                <w:color w:val="auto"/>
              </w:rPr>
              <w:t>A summary of the movement in the allowance for current expected credit losses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gridSpan w:val="5"/>
          </w:tcPr>
          <w:p>
            <w:pP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April 1, 2020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Additional provision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written off during the year as uncollectible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Amounts reclassified to assets related to discontinued operations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Additional provision</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2022</w:t>
            </w: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$ 40</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Reversal of provision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written off during the year as uncollectible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60" w:type="dxa"/>
            <w:vAlign w:val="bottom"/>
            <w:gridSpan w:val="4"/>
          </w:tcPr>
          <w:p>
            <w:pPr>
              <w:ind w:left="440"/>
              <w:spacing w:after="0"/>
              <w:rPr>
                <w:sz w:val="20"/>
                <w:szCs w:val="20"/>
                <w:color w:val="auto"/>
              </w:rPr>
            </w:pPr>
            <w:r>
              <w:rPr>
                <w:rFonts w:ascii="Arial" w:cs="Arial" w:eastAsia="Arial" w:hAnsi="Arial"/>
                <w:sz w:val="18"/>
                <w:szCs w:val="18"/>
                <w:b w:val="1"/>
                <w:bCs w:val="1"/>
                <w:color w:val="auto"/>
              </w:rPr>
              <w:t>Balance as of March 31, 2023</w:t>
            </w:r>
          </w:p>
        </w:tc>
        <w:tc>
          <w:tcPr>
            <w:tcW w:w="10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timing of revenue recognition may differ from the timing of invoicing to customers. Contract assets are created when invoicing occurs subsequent to revenue recognition. Contract assets are transferred to accounts receivable when the right to invoice becomes unconditional. Contract assets increased by $254 million and $490 million due to the timing of billings to customers, which fell into subsequent periods, in the fiscal years ended March 31, 2023 and 2022, respectively, offset by $250 million and $331 million of contract assets transferred to accounts receivable, in the fiscal years ended March 31, 2023 and 2022, respectively. The balance and activity for loss allowances related to contract assets was immaterial for all periods presented.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movement in contract liabilities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6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April 1, 2021</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$1,178</w:t>
            </w:r>
          </w:p>
        </w:tc>
        <w:tc>
          <w:tcPr>
            <w:tcW w:w="100" w:type="dxa"/>
            <w:vAlign w:val="bottom"/>
            <w:shd w:val="clear" w:color="auto" w:fill="CCEEFF"/>
          </w:tcPr>
          <w:p>
            <w:pPr>
              <w:spacing w:after="0"/>
              <w:rPr>
                <w:sz w:val="17"/>
                <w:szCs w:val="17"/>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Customer prepayment and billing in advance of performance</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02"/>
        </w:trPr>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 at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beginning of the period</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02"/>
        </w:trPr>
        <w:tc>
          <w:tcPr>
            <w:tcW w:w="6880" w:type="dxa"/>
            <w:vAlign w:val="bottom"/>
            <w:gridSpan w:val="2"/>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during the period</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371"/>
        </w:trPr>
        <w:tc>
          <w:tcPr>
            <w:tcW w:w="740" w:type="dxa"/>
            <w:vAlign w:val="bottom"/>
          </w:tcPr>
          <w:p>
            <w:pPr>
              <w:spacing w:after="0"/>
              <w:rPr>
                <w:sz w:val="24"/>
                <w:szCs w:val="24"/>
                <w:color w:val="auto"/>
              </w:rPr>
            </w:pPr>
          </w:p>
        </w:tc>
        <w:tc>
          <w:tcPr>
            <w:tcW w:w="6140" w:type="dxa"/>
            <w:vAlign w:val="bottom"/>
          </w:tcPr>
          <w:p>
            <w:pPr>
              <w:ind w:left="2940"/>
              <w:spacing w:after="0"/>
              <w:rPr>
                <w:sz w:val="20"/>
                <w:szCs w:val="20"/>
                <w:color w:val="auto"/>
              </w:rPr>
            </w:pPr>
            <w:r>
              <w:rPr>
                <w:rFonts w:ascii="Arial" w:cs="Arial" w:eastAsia="Arial" w:hAnsi="Arial"/>
                <w:sz w:val="18"/>
                <w:szCs w:val="18"/>
                <w:color w:val="auto"/>
              </w:rPr>
              <w:t>F-30</w:t>
            </w: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March 31,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1,126</w:t>
            </w:r>
          </w:p>
        </w:tc>
        <w:tc>
          <w:tcPr>
            <w:tcW w:w="100" w:type="dxa"/>
            <w:vAlign w:val="bottom"/>
            <w:shd w:val="clear" w:color="auto" w:fill="CCEEFF"/>
          </w:tcPr>
          <w:p>
            <w:pPr>
              <w:spacing w:after="0"/>
              <w:rPr>
                <w:sz w:val="17"/>
                <w:szCs w:val="17"/>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Current portion of contract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contract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Balance as of April 1, 2022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1,126</w:t>
            </w: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prepayment and billing in advance of performance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02"/>
        </w:trPr>
        <w:tc>
          <w:tcPr>
            <w:tcW w:w="20" w:type="dxa"/>
            <w:vAlign w:val="bottom"/>
          </w:tcPr>
          <w:p>
            <w:pPr>
              <w:spacing w:after="0"/>
              <w:rPr>
                <w:sz w:val="17"/>
                <w:szCs w:val="17"/>
                <w:color w:val="auto"/>
              </w:rPr>
            </w:pPr>
          </w:p>
        </w:tc>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 at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the beginning of the period</w:t>
            </w: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02"/>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during the period</w:t>
            </w: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Effect of disposal (see Note 21)</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1,100</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Current portion of contract liabilities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contract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807</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Satisfied Performance Obligations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Revenue recognized from previously satisfied performance obligations in prior reporting periods was $1,705 million, $1,562 million, and $1,313 million for the fiscal years ended March 31, 2023, 2022, and 2021, respectively. These amounts primarily represent royalties earned during the period.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has elected to exclude potential future royalty receipts from the disclosure of remaining performance obligations. In certain arrangements, the Company’s right to consideration may not correspond directly with the performance of obligations. Revenue recognition occurs upon delivery or beginning of license term, whichever is later.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2023, the aggregate transaction price allocated to remaining performance obligations was</w:t>
      </w:r>
    </w:p>
    <w:p>
      <w:pPr>
        <w:spacing w:after="0" w:line="23"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$1,712.1 million, which includes $743.9 million of non-cancellable and non-refundable committed funds received from certain customers, where the parties are in negotiations regarding the enforceable rights and obligations of the arrangement.</w:t>
      </w:r>
    </w:p>
    <w:p>
      <w:pPr>
        <w:spacing w:after="0" w:line="18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expects to recognize approximately 23% of remaining performance obligations as revenue over the next 12 months, 11% over the subsequent 13-to 24-month period, and the remainder thereafter.</w:t>
      </w:r>
    </w:p>
    <w:p>
      <w:pPr>
        <w:spacing w:after="0" w:line="315"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decided to distribute and sell Treasure Data and IoTP, respectively, to the immediate shareholders of the Company (disposal other than by sale). The distribution and sale of Treasure Data and IoTP, respectively represented a strategic shift that has or will have a major effect on the Company’s operations and financial</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results. In the course of the Company’s evaluation, it considered examples provided in ASC 205-20 of what may constitute a strategic shift that will have a major effect on operations and financial results. The following metrics were analyzed among others: total revenues of Treasure Data and IoTP when compared to those of the Company, total assets, losses and profits before and after taxes, respectively. As a result of this analysis, the Company determined the distribution and sale of the businesses qualified for classification as discontinued operations. Because Treasure Data and IoTP were distributed and sold to the immediate shareholders of the Company, the results of operations were not recorded as discontinued operations until the period in which the businesses were actually disposed of other than by sale.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Treasure Data</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June 2021, the Company completed a pro rata distribution of its controlling stake in Treasure Data to the immediate shareholders of the Company. The distribution was recorded as a reduction to retained earnings at the carrying amount of Treasure Data’s net assets of $44.2 million and did not result in the recognition of gain or losses.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distribution, the Company and Treasure Data entered into a transition services agreement pursuant to which the Company provided enabling functions support services to the owners of Treasure Data on an interim transitional basis for up to three months after disposition. The revenue and cash flows associated with this transition services agreement were not significant to the operations of the Company. The Company completed its transition services for Treasure Data during the fiscal year ended March 31, 2022. The Company provided no transition services in the fiscal year ended March 31, 2023.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IoTP</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November 2021, the Company sold 100% of its ownership in IoTP. The IoTP business was sold to the Company’s immediate shareholders for $12.0 million in cash consideration. Consideration with respect to the sale was unpaid as of March 31, 2023 and recorded as an other receivable in prepaid expenses and other current assets on the Consolidated Balance Sheets. Upon the sale, the carrying value of the net assets of IoTP equaled total consideration and no gain or loss was recognized. The Company provided no transition services to IoTP post-distribution in the fiscal years ended March 31, 2023 and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Summarized Financial Information</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Operating results of Treasure Data and IoTP are reflected in discontinued operations in the consolidated financial statements for all periods presented through the dates of distribution and sale,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major components of revenues and expenses from discontinued operations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4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46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from external customers</w:t>
            </w: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 costs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60" w:type="dxa"/>
            <w:vAlign w:val="bottom"/>
            <w:vMerge w:val="restart"/>
          </w:tcPr>
          <w:p>
            <w:pPr>
              <w:ind w:left="3380"/>
              <w:spacing w:after="0"/>
              <w:rPr>
                <w:sz w:val="20"/>
                <w:szCs w:val="20"/>
                <w:color w:val="auto"/>
              </w:rPr>
            </w:pPr>
            <w:r>
              <w:rPr>
                <w:rFonts w:ascii="Arial" w:cs="Arial" w:eastAsia="Arial" w:hAnsi="Arial"/>
                <w:sz w:val="18"/>
                <w:szCs w:val="18"/>
                <w:color w:val="auto"/>
              </w:rPr>
              <w:t>F-32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Prior to the sale of IoTP, in November 2021, an impairment loss of $23.5 million was recognized on long-lived intangible and property and equipment assets of IoTP. The impairment was primarily a result of lower than anticipated operating results and a deterioration in projected results. For purposes of determining the impairment, the Company relied on the income approach utilizing discounted cash flows to arrive at fair value.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significant non-cash items and capital expenditures from discontinued operations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500" w:type="dxa"/>
            <w:vAlign w:val="bottom"/>
            <w:vMerge w:val="restart"/>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Fiscal Years Ended March 31,</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5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2022</w:t>
            </w:r>
          </w:p>
        </w:tc>
        <w:tc>
          <w:tcPr>
            <w:tcW w:w="1180" w:type="dxa"/>
            <w:vAlign w:val="bottom"/>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Amortization and depreciation expense</w:t>
            </w:r>
          </w:p>
        </w:tc>
        <w:tc>
          <w:tcPr>
            <w:tcW w:w="1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1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Other non-cash items</w:t>
            </w:r>
          </w:p>
        </w:tc>
        <w:tc>
          <w:tcPr>
            <w:tcW w:w="15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180"/>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Other non-cash items include operating lease expense, stock-based compensation cost and purchase of property and equipment for the fiscal years presented.</w:t>
      </w:r>
    </w:p>
    <w:p>
      <w:pPr>
        <w:spacing w:after="0" w:line="315"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As of March 31, 2023, 2022, and 2021, the Company had a goodwill balance of $1,620 million, $1,636 million, and $1,651 million, respectively. The period-over-period change in goodwill for the fiscal years ended March 31, 2023 and 2022 was due to foreign currency translation adjustments. The Company did not record any goodwill impairment for the fiscal years ended March 31, 2023, 2022, and 2021.</w:t>
      </w:r>
    </w:p>
    <w:p>
      <w:pPr>
        <w:spacing w:after="0" w:line="310"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related to intangible assets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3"/>
          </w:tcPr>
          <w:p>
            <w:pPr>
              <w:jc w:val="right"/>
              <w:ind w:right="220"/>
              <w:spacing w:after="0"/>
              <w:rPr>
                <w:sz w:val="20"/>
                <w:szCs w:val="20"/>
                <w:color w:val="auto"/>
              </w:rPr>
            </w:pPr>
            <w:r>
              <w:rPr>
                <w:rFonts w:ascii="Arial" w:cs="Arial" w:eastAsia="Arial" w:hAnsi="Arial"/>
                <w:sz w:val="14"/>
                <w:szCs w:val="14"/>
                <w:b w:val="1"/>
                <w:bCs w:val="1"/>
                <w:color w:val="auto"/>
                <w:w w:val="99"/>
              </w:rPr>
              <w:t>Fiscal Years Ended March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8"/>
              </w:rPr>
              <w:t>Gross Carrying</w:t>
            </w:r>
          </w:p>
        </w:tc>
        <w:tc>
          <w:tcPr>
            <w:tcW w:w="260" w:type="dxa"/>
            <w:vAlign w:val="bottom"/>
          </w:tcPr>
          <w:p>
            <w:pPr>
              <w:spacing w:after="0"/>
              <w:rPr>
                <w:sz w:val="10"/>
                <w:szCs w:val="10"/>
                <w:color w:val="auto"/>
              </w:rPr>
            </w:pPr>
          </w:p>
        </w:tc>
        <w:tc>
          <w:tcPr>
            <w:tcW w:w="1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5"/>
              </w:rPr>
              <w:t>Net Carrying</w:t>
            </w:r>
          </w:p>
        </w:tc>
        <w:tc>
          <w:tcPr>
            <w:tcW w:w="200" w:type="dxa"/>
            <w:vAlign w:val="bottom"/>
          </w:tcPr>
          <w:p>
            <w:pPr>
              <w:spacing w:after="0"/>
              <w:rPr>
                <w:sz w:val="10"/>
                <w:szCs w:val="10"/>
                <w:color w:val="auto"/>
              </w:rPr>
            </w:pPr>
          </w:p>
        </w:tc>
        <w:tc>
          <w:tcPr>
            <w:tcW w:w="12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6"/>
          </w:tcPr>
          <w:p>
            <w:pPr>
              <w:jc w:val="center"/>
              <w:ind w:right="60"/>
              <w:spacing w:after="0" w:line="145"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6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080" w:type="dxa"/>
            <w:vAlign w:val="bottom"/>
            <w:gridSpan w:val="3"/>
            <w:vMerge w:val="restart"/>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080" w:type="dxa"/>
            <w:vAlign w:val="bottom"/>
            <w:gridSpan w:val="6"/>
          </w:tcPr>
          <w:p>
            <w:pPr>
              <w:ind w:left="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5080" w:type="dxa"/>
            <w:vAlign w:val="bottom"/>
            <w:gridSpan w:val="3"/>
            <w:vMerge w:val="continue"/>
          </w:tcPr>
          <w:p>
            <w:pPr>
              <w:spacing w:after="0"/>
              <w:rPr>
                <w:sz w:val="15"/>
                <w:szCs w:val="15"/>
                <w:color w:val="auto"/>
              </w:rPr>
            </w:pPr>
          </w:p>
        </w:tc>
        <w:tc>
          <w:tcPr>
            <w:tcW w:w="4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4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6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5"/>
                <w:szCs w:val="15"/>
                <w:color w:val="auto"/>
              </w:rPr>
            </w:pPr>
          </w:p>
        </w:tc>
        <w:tc>
          <w:tcPr>
            <w:tcW w:w="560" w:type="dxa"/>
            <w:vAlign w:val="bottom"/>
            <w:gridSpan w:val="4"/>
          </w:tcPr>
          <w:p>
            <w:pPr>
              <w:jc w:val="center"/>
              <w:ind w:left="93"/>
              <w:spacing w:after="0" w:line="158" w:lineRule="exact"/>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5"/>
                <w:szCs w:val="15"/>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5"/>
                <w:szCs w:val="15"/>
                <w:color w:val="auto"/>
              </w:rPr>
            </w:pPr>
          </w:p>
        </w:tc>
        <w:tc>
          <w:tcPr>
            <w:tcW w:w="5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Patents &amp; licenses</w:t>
            </w: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$ 178</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$ 178</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$169</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155</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151</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920" w:type="dxa"/>
            <w:vAlign w:val="bottom"/>
            <w:gridSpan w:val="5"/>
          </w:tcPr>
          <w:p>
            <w:pPr>
              <w:jc w:val="right"/>
              <w:ind w:right="28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820" w:type="dxa"/>
            <w:vAlign w:val="bottom"/>
            <w:gridSpan w:val="4"/>
          </w:tcPr>
          <w:p>
            <w:pPr>
              <w:spacing w:after="0"/>
              <w:rPr>
                <w:sz w:val="20"/>
                <w:szCs w:val="20"/>
                <w:color w:val="auto"/>
              </w:rPr>
            </w:pPr>
            <w:r>
              <w:rPr>
                <w:rFonts w:ascii="Arial" w:cs="Arial" w:eastAsia="Arial" w:hAnsi="Arial"/>
                <w:sz w:val="18"/>
                <w:szCs w:val="18"/>
                <w:color w:val="auto"/>
              </w:rPr>
              <w:t>Computer software</w:t>
            </w:r>
          </w:p>
        </w:tc>
        <w:tc>
          <w:tcPr>
            <w:tcW w:w="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244</w:t>
            </w: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168</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125</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144</w:t>
            </w:r>
          </w:p>
        </w:tc>
        <w:tc>
          <w:tcPr>
            <w:tcW w:w="920" w:type="dxa"/>
            <w:vAlign w:val="bottom"/>
            <w:gridSpan w:val="5"/>
          </w:tcPr>
          <w:p>
            <w:pPr>
              <w:jc w:val="right"/>
              <w:ind w:right="280"/>
              <w:spacing w:after="0"/>
              <w:rPr>
                <w:sz w:val="20"/>
                <w:szCs w:val="20"/>
                <w:color w:val="auto"/>
              </w:rPr>
            </w:pPr>
            <w:r>
              <w:rPr>
                <w:rFonts w:ascii="Arial" w:cs="Arial" w:eastAsia="Arial" w:hAnsi="Arial"/>
                <w:sz w:val="18"/>
                <w:szCs w:val="18"/>
                <w:color w:val="auto"/>
              </w:rPr>
              <w:t>2.7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594</w:t>
            </w: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490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138</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4"/>
          </w:tcPr>
          <w:p>
            <w:pPr>
              <w:spacing w:after="0"/>
              <w:rPr>
                <w:sz w:val="20"/>
                <w:szCs w:val="20"/>
                <w:color w:val="auto"/>
              </w:rPr>
            </w:pPr>
            <w:r>
              <w:rPr>
                <w:rFonts w:ascii="Arial" w:cs="Arial" w:eastAsia="Arial" w:hAnsi="Arial"/>
                <w:sz w:val="18"/>
                <w:szCs w:val="18"/>
                <w:color w:val="auto"/>
              </w:rPr>
              <w:t>Intangible assets under development</w:t>
            </w: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$ 628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$ 624</w:t>
            </w: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138</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spacing w:after="0"/>
              <w:rPr>
                <w:sz w:val="20"/>
                <w:szCs w:val="20"/>
                <w:color w:val="auto"/>
              </w:rPr>
            </w:pPr>
            <w:r>
              <w:rPr>
                <w:rFonts w:ascii="Arial" w:cs="Arial" w:eastAsia="Arial" w:hAnsi="Arial"/>
                <w:sz w:val="18"/>
                <w:szCs w:val="18"/>
                <w:color w:val="auto"/>
                <w:w w:val="93"/>
              </w:rPr>
              <w:t>Information regarding amortization expense for intangible assets is as follows:</w:t>
            </w: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20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3"/>
          </w:tcPr>
          <w:p>
            <w:pPr>
              <w:jc w:val="right"/>
              <w:ind w:right="260"/>
              <w:spacing w:after="0"/>
              <w:rPr>
                <w:sz w:val="20"/>
                <w:szCs w:val="20"/>
                <w:color w:val="auto"/>
              </w:rPr>
            </w:pPr>
            <w:r>
              <w:rPr>
                <w:rFonts w:ascii="Arial" w:cs="Arial" w:eastAsia="Arial" w:hAnsi="Arial"/>
                <w:sz w:val="14"/>
                <w:szCs w:val="14"/>
                <w:b w:val="1"/>
                <w:bCs w:val="1"/>
                <w:color w:val="auto"/>
                <w:w w:val="97"/>
              </w:rPr>
              <w:t>Fiscal Years Ended March 31,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39"/>
              <w:spacing w:after="0" w:line="129" w:lineRule="exact"/>
              <w:rPr>
                <w:sz w:val="20"/>
                <w:szCs w:val="20"/>
                <w:color w:val="auto"/>
              </w:rPr>
            </w:pPr>
            <w:r>
              <w:rPr>
                <w:rFonts w:ascii="Arial" w:cs="Arial" w:eastAsia="Arial" w:hAnsi="Arial"/>
                <w:sz w:val="14"/>
                <w:szCs w:val="14"/>
                <w:b w:val="1"/>
                <w:bCs w:val="1"/>
                <w:color w:val="auto"/>
                <w:w w:val="83"/>
              </w:rPr>
              <w:t>2023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amortization expense</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101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0" w:type="dxa"/>
            <w:vAlign w:val="bottom"/>
            <w:vMerge w:val="restart"/>
          </w:tcPr>
          <w:p>
            <w:pPr>
              <w:ind w:left="3820"/>
              <w:spacing w:after="0"/>
              <w:rPr>
                <w:sz w:val="20"/>
                <w:szCs w:val="20"/>
                <w:color w:val="auto"/>
              </w:rPr>
            </w:pPr>
            <w:r>
              <w:rPr>
                <w:rFonts w:ascii="Arial" w:cs="Arial" w:eastAsia="Arial" w:hAnsi="Arial"/>
                <w:sz w:val="18"/>
                <w:szCs w:val="18"/>
                <w:color w:val="auto"/>
                <w:w w:val="97"/>
              </w:rPr>
              <w:t>F-33</w:t>
            </w: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Company capitalized $35.1 million, $11.0 million and $40.6 million and amortized $22.5 million, $26.5 million and $22.2 million in development costs associated with internal use software in the fiscal years ended March 31, 2023, 2022 and 2021, respectively. Impairment of intangible assets for fiscal year ended March 31, 2022 was $5.0 million. There was no impairment of intangible assets recognized in other periods presented. Capitalized costs related to internal use software, net of accumulated amortization was $46.8 million and $34.5 million as of March 31, 2023 and 2022, respectively.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future amortization of intangible assets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31, 2023</w:t>
            </w:r>
          </w:p>
        </w:tc>
      </w:tr>
      <w:tr>
        <w:trPr>
          <w:trHeight w:val="203"/>
        </w:trPr>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2024</w:t>
            </w:r>
          </w:p>
        </w:tc>
        <w:tc>
          <w:tcPr>
            <w:tcW w:w="5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2025</w:t>
            </w:r>
          </w:p>
        </w:tc>
        <w:tc>
          <w:tcPr>
            <w:tcW w:w="5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2027</w:t>
            </w:r>
          </w:p>
        </w:tc>
        <w:tc>
          <w:tcPr>
            <w:tcW w:w="5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future amortization expense</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93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0" w:type="dxa"/>
            <w:vAlign w:val="bottom"/>
            <w:gridSpan w:val="3"/>
          </w:tcPr>
          <w:p>
            <w:pPr>
              <w:spacing w:after="0"/>
              <w:rPr>
                <w:sz w:val="20"/>
                <w:szCs w:val="20"/>
                <w:color w:val="auto"/>
              </w:rPr>
            </w:pPr>
            <w:r>
              <w:rPr>
                <w:rFonts w:ascii="Arial" w:cs="Arial" w:eastAsia="Arial" w:hAnsi="Arial"/>
                <w:sz w:val="18"/>
                <w:szCs w:val="18"/>
                <w:color w:val="auto"/>
              </w:rPr>
              <w:t>Information regarding property and equipment, net is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8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gridSpan w:val="2"/>
            <w:vMerge w:val="continue"/>
          </w:tcPr>
          <w:p>
            <w:pPr>
              <w:spacing w:after="0"/>
              <w:rPr>
                <w:sz w:val="12"/>
                <w:szCs w:val="12"/>
                <w:color w:val="auto"/>
              </w:rPr>
            </w:pPr>
          </w:p>
        </w:tc>
        <w:tc>
          <w:tcPr>
            <w:tcW w:w="8860" w:type="dxa"/>
            <w:vAlign w:val="bottom"/>
            <w:vMerge w:val="continue"/>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Fixtures, fittings and motor vehicles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 gross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(473)</w:t>
            </w: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(441)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Depreciation expense for the fiscal years ended March 31, 2023, 2022 and 2021 was $77.2 million, $82.5 million, and $78.8 million,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Impairment of property and equipment for the fiscal years ended March 31, 2023, 2022, and 2021 was zero, $13.6 million and $2.5 million, respectively.</w:t>
      </w:r>
    </w:p>
    <w:p>
      <w:pPr>
        <w:spacing w:after="0" w:line="23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As of March 31, 2023 and 2022, the Company had ARO liabilities of $10.0 million and $11.5 million related to leasehold improvements, recorded in other current and other non-current liabilities on the Consolidated Balance Sheets. In the fiscal year ended March 31, 2023, ARO liabilities decreased by $1.5 million, which consisted of $1.0 million and $0.7 million related to settlement and revision of certain obligation estimates and foreign currency translation adjustments, respectively, partially offset by accretion $0.2 million. In the fiscal year ended March 31, 2022, ARO liabilities decreased by $1.7 million, which consisted of $1.0 million and $0.9 million related to settlement and revision of certain obligation estimates and foreign currency translation adjustments, respectively, partially offset by accretion $0.2 million.</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of March 31, 2023 and 2022, the Company had $5.4 million and $5.9 million, respectively of retirement assets recorded in property and equipment, net on the Consolidated Balance Sheets.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liabilities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280" w:type="dxa"/>
            <w:vAlign w:val="bottom"/>
            <w:vMerge w:val="restart"/>
          </w:tcPr>
          <w:p>
            <w:pPr>
              <w:spacing w:after="0"/>
              <w:rPr>
                <w:sz w:val="14"/>
                <w:szCs w:val="14"/>
                <w:color w:val="auto"/>
              </w:rPr>
            </w:pPr>
          </w:p>
        </w:tc>
        <w:tc>
          <w:tcPr>
            <w:tcW w:w="134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6280" w:type="dxa"/>
            <w:vAlign w:val="bottom"/>
            <w:vMerge w:val="continue"/>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Vendor accruals</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$ 102</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to related parties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Restructuring liabilities</w:t>
            </w:r>
          </w:p>
        </w:tc>
        <w:tc>
          <w:tcPr>
            <w:tcW w:w="86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Total other current liabilities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Company’s lease obligations primarily consist of operating leases for property, IT and automobiles with lease terms expiring between calendar years 2023 and 2044. The Company’s lease agreements do not contain residual value guarantees, material variable payment provisions or material restrictive covenants.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did not have material finance or short-term leases and did not incur any material variable lease expenses for all periods presented. For the fiscal years ended March 31, 2023, 2022 and 2021, operating lease expense was $34.3 million, $40.0 million, and $40.7 million, respectively. For the year ended March 31, 2023, the Company recognized a loss on early termination of certain operating leases of $4.4 million. No material gains or losses were recognized on lease terminations in other periods presented.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disclosures of cash flow information related to operating leases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56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2023</w:t>
            </w: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2"/>
                <w:szCs w:val="12"/>
                <w:color w:val="auto"/>
              </w:rPr>
            </w:pPr>
          </w:p>
        </w:tc>
        <w:tc>
          <w:tcPr>
            <w:tcW w:w="460" w:type="dxa"/>
            <w:vAlign w:val="bottom"/>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flows used for operating leases</w:t>
            </w:r>
          </w:p>
        </w:tc>
        <w:tc>
          <w:tcPr>
            <w:tcW w:w="7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0"/>
              </w:rPr>
              <w:t>$(47)</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(42)</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0"/>
              </w:rPr>
              <w:t>$(35)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060" w:type="dxa"/>
            <w:vAlign w:val="bottom"/>
            <w:gridSpan w:val="2"/>
          </w:tcPr>
          <w:p>
            <w:pPr>
              <w:jc w:val="center"/>
              <w:ind w:left="630"/>
              <w:spacing w:after="0"/>
              <w:rPr>
                <w:sz w:val="20"/>
                <w:szCs w:val="20"/>
                <w:color w:val="auto"/>
              </w:rPr>
            </w:pPr>
            <w:r>
              <w:rPr>
                <w:rFonts w:ascii="Arial" w:cs="Arial" w:eastAsia="Arial" w:hAnsi="Arial"/>
                <w:sz w:val="18"/>
                <w:szCs w:val="18"/>
                <w:color w:val="auto"/>
                <w:w w:val="96"/>
              </w:rPr>
              <w:t>$ 16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460" w:type="dxa"/>
            <w:vAlign w:val="bottom"/>
            <w:gridSpan w:val="2"/>
          </w:tcPr>
          <w:p>
            <w:pPr>
              <w:jc w:val="center"/>
              <w:ind w:left="39"/>
              <w:spacing w:after="0"/>
              <w:rPr>
                <w:sz w:val="20"/>
                <w:szCs w:val="20"/>
                <w:color w:val="auto"/>
              </w:rPr>
            </w:pPr>
            <w:r>
              <w:rPr>
                <w:rFonts w:ascii="Arial" w:cs="Arial" w:eastAsia="Arial" w:hAnsi="Arial"/>
                <w:sz w:val="18"/>
                <w:szCs w:val="18"/>
                <w:color w:val="auto"/>
                <w:w w:val="96"/>
              </w:rPr>
              <w:t>$ 54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weighted average remaining lease term and discount rate for operating leases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4"/>
              </w:rPr>
              <w:t>As of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15.20</w:t>
            </w:r>
          </w:p>
        </w:tc>
        <w:tc>
          <w:tcPr>
            <w:tcW w:w="4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14.57</w:t>
            </w:r>
          </w:p>
        </w:tc>
        <w:tc>
          <w:tcPr>
            <w:tcW w:w="200" w:type="dxa"/>
            <w:vAlign w:val="bottom"/>
          </w:tcPr>
          <w:p>
            <w:pPr>
              <w:spacing w:after="0"/>
              <w:rPr>
                <w:sz w:val="20"/>
                <w:szCs w:val="20"/>
                <w:color w:val="auto"/>
              </w:rPr>
            </w:pPr>
          </w:p>
        </w:tc>
      </w:tr>
      <w:tr>
        <w:trPr>
          <w:trHeight w:val="350"/>
        </w:trPr>
        <w:tc>
          <w:tcPr>
            <w:tcW w:w="4080" w:type="dxa"/>
            <w:vAlign w:val="bottom"/>
          </w:tcPr>
          <w:p>
            <w:pPr>
              <w:spacing w:after="0"/>
              <w:rPr>
                <w:sz w:val="24"/>
                <w:szCs w:val="24"/>
                <w:color w:val="auto"/>
              </w:rPr>
            </w:pPr>
          </w:p>
        </w:tc>
        <w:tc>
          <w:tcPr>
            <w:tcW w:w="3300" w:type="dxa"/>
            <w:vAlign w:val="bottom"/>
            <w:gridSpan w:val="3"/>
          </w:tcPr>
          <w:p>
            <w:pPr>
              <w:jc w:val="right"/>
              <w:ind w:right="2480"/>
              <w:spacing w:after="0"/>
              <w:rPr>
                <w:sz w:val="20"/>
                <w:szCs w:val="20"/>
                <w:color w:val="auto"/>
              </w:rPr>
            </w:pPr>
            <w:r>
              <w:rPr>
                <w:rFonts w:ascii="Arial" w:cs="Arial" w:eastAsia="Arial" w:hAnsi="Arial"/>
                <w:sz w:val="18"/>
                <w:szCs w:val="18"/>
                <w:color w:val="auto"/>
              </w:rPr>
              <w:t>F-35</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8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Pursuant to 17 C.F.R. Section 200.83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tcPr>
          <w:p>
            <w:pPr>
              <w:jc w:val="center"/>
              <w:ind w:left="1130"/>
              <w:spacing w:after="0"/>
              <w:rPr>
                <w:sz w:val="20"/>
                <w:szCs w:val="20"/>
                <w:color w:val="auto"/>
              </w:rPr>
            </w:pPr>
            <w:r>
              <w:rPr>
                <w:rFonts w:ascii="Arial" w:cs="Arial" w:eastAsia="Arial" w:hAnsi="Arial"/>
                <w:sz w:val="18"/>
                <w:szCs w:val="18"/>
                <w:b w:val="1"/>
                <w:bCs w:val="1"/>
                <w:color w:val="auto"/>
                <w:w w:val="97"/>
              </w:rPr>
              <w:t>Arm Limited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00" w:type="dxa"/>
            <w:vAlign w:val="bottom"/>
            <w:gridSpan w:val="7"/>
          </w:tcPr>
          <w:p>
            <w:pPr>
              <w:spacing w:after="0"/>
              <w:rPr>
                <w:sz w:val="20"/>
                <w:szCs w:val="20"/>
                <w:color w:val="auto"/>
              </w:rPr>
            </w:pPr>
            <w:r>
              <w:rPr>
                <w:rFonts w:ascii="Arial" w:cs="Arial" w:eastAsia="Arial" w:hAnsi="Arial"/>
                <w:sz w:val="18"/>
                <w:szCs w:val="18"/>
                <w:color w:val="auto"/>
              </w:rPr>
              <w:t>Maturity of operating lease liabilities as of March 31, 2023 is as follows (in millions):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2024</w:t>
            </w:r>
          </w:p>
        </w:tc>
        <w:tc>
          <w:tcPr>
            <w:tcW w:w="4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$ 31</w:t>
            </w: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2025</w:t>
            </w: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w:t>
            </w:r>
          </w:p>
        </w:tc>
        <w:tc>
          <w:tcPr>
            <w:tcW w:w="4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2027</w:t>
            </w: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4"/>
          </w:tcPr>
          <w:p>
            <w:pPr>
              <w:ind w:left="140"/>
              <w:spacing w:after="0"/>
              <w:rPr>
                <w:sz w:val="20"/>
                <w:szCs w:val="20"/>
                <w:color w:val="auto"/>
              </w:rPr>
            </w:pPr>
            <w:r>
              <w:rPr>
                <w:rFonts w:ascii="Arial" w:cs="Arial" w:eastAsia="Arial" w:hAnsi="Arial"/>
                <w:sz w:val="18"/>
                <w:szCs w:val="18"/>
                <w:b w:val="1"/>
                <w:bCs w:val="1"/>
                <w:color w:val="auto"/>
              </w:rPr>
              <w:t>Total minimum lease payments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4"/>
          </w:tcPr>
          <w:p>
            <w:pPr>
              <w:ind w:left="140"/>
              <w:spacing w:after="0"/>
              <w:rPr>
                <w:sz w:val="20"/>
                <w:szCs w:val="20"/>
                <w:color w:val="auto"/>
              </w:rPr>
            </w:pPr>
            <w:r>
              <w:rPr>
                <w:rFonts w:ascii="Arial" w:cs="Arial" w:eastAsia="Arial" w:hAnsi="Arial"/>
                <w:sz w:val="18"/>
                <w:szCs w:val="18"/>
                <w:b w:val="1"/>
                <w:bCs w:val="1"/>
                <w:color w:val="auto"/>
              </w:rPr>
              <w:t>Total operating lease liabilities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Less: current portion of operating lease liabilities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4"/>
          </w:tcPr>
          <w:p>
            <w:pPr>
              <w:ind w:left="140"/>
              <w:spacing w:after="0"/>
              <w:rPr>
                <w:sz w:val="20"/>
                <w:szCs w:val="20"/>
                <w:color w:val="auto"/>
              </w:rPr>
            </w:pPr>
            <w:r>
              <w:rPr>
                <w:rFonts w:ascii="Arial" w:cs="Arial" w:eastAsia="Arial" w:hAnsi="Arial"/>
                <w:sz w:val="18"/>
                <w:szCs w:val="18"/>
                <w:b w:val="1"/>
                <w:bCs w:val="1"/>
                <w:color w:val="auto"/>
              </w:rPr>
              <w:t>Non-current portion of operating lease liabilities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7"/>
            <w:vMerge w:val="restart"/>
          </w:tcPr>
          <w:p>
            <w:pPr>
              <w:spacing w:after="0"/>
              <w:rPr>
                <w:sz w:val="20"/>
                <w:szCs w:val="20"/>
                <w:color w:val="auto"/>
              </w:rPr>
            </w:pPr>
            <w:r>
              <w:rPr>
                <w:rFonts w:ascii="Arial" w:cs="Arial" w:eastAsia="Arial" w:hAnsi="Arial"/>
                <w:sz w:val="18"/>
                <w:szCs w:val="18"/>
                <w:color w:val="auto"/>
              </w:rPr>
              <w:t>The Company had no material leases due to commence subsequent to March 31, 2023.</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300" w:type="dxa"/>
            <w:vAlign w:val="bottom"/>
            <w:gridSpan w:val="7"/>
          </w:tcPr>
          <w:p>
            <w:pPr>
              <w:spacing w:after="0"/>
              <w:rPr>
                <w:sz w:val="20"/>
                <w:szCs w:val="20"/>
                <w:color w:val="auto"/>
              </w:rPr>
            </w:pPr>
            <w:r>
              <w:rPr>
                <w:rFonts w:ascii="Arial" w:cs="Arial" w:eastAsia="Arial" w:hAnsi="Arial"/>
                <w:sz w:val="18"/>
                <w:szCs w:val="18"/>
                <w:b w:val="1"/>
                <w:bCs w:val="1"/>
                <w:color w:val="auto"/>
              </w:rPr>
              <w:t>10.  Equity Investments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7"/>
          </w:tcPr>
          <w:p>
            <w:pPr>
              <w:spacing w:after="0"/>
              <w:rPr>
                <w:sz w:val="20"/>
                <w:szCs w:val="20"/>
                <w:color w:val="auto"/>
              </w:rPr>
            </w:pPr>
            <w:r>
              <w:rPr>
                <w:rFonts w:ascii="Arial" w:cs="Arial" w:eastAsia="Arial" w:hAnsi="Arial"/>
                <w:sz w:val="18"/>
                <w:szCs w:val="18"/>
                <w:color w:val="auto"/>
              </w:rPr>
              <w:t>A summary of the components of equity investments is as follows: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240" w:type="dxa"/>
            <w:vAlign w:val="bottom"/>
            <w:gridSpan w:val="2"/>
            <w:vMerge w:val="restart"/>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8"/>
              </w:rPr>
              <w:t>As of March 31,</w:t>
            </w: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bottom w:val="single" w:sz="8" w:color="auto"/>
            </w:tcBorders>
            <w:gridSpan w:val="3"/>
            <w:vMerge w:val="continue"/>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2"/>
                <w:szCs w:val="12"/>
                <w:color w:val="auto"/>
              </w:rPr>
            </w:pPr>
          </w:p>
        </w:tc>
        <w:tc>
          <w:tcPr>
            <w:tcW w:w="900" w:type="dxa"/>
            <w:vAlign w:val="bottom"/>
            <w:gridSpan w:val="5"/>
          </w:tcPr>
          <w:p>
            <w:pPr>
              <w:jc w:val="center"/>
              <w:ind w:left="294"/>
              <w:spacing w:after="0" w:line="129"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8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Equity method investments under fair value option</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left w:val="single" w:sz="8" w:color="CCEEFF"/>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$ 592</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440" w:type="dxa"/>
            <w:vAlign w:val="bottom"/>
            <w:tcBorders>
              <w:top w:val="single" w:sz="8" w:color="auto"/>
              <w:right w:val="single" w:sz="8" w:color="CCEEFF"/>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$ 631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Equity method investments under equity method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Non-marketable equity securities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b w:val="1"/>
                <w:bCs w:val="1"/>
                <w:color w:val="auto"/>
              </w:rPr>
              <w:t>Total equity investments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$ 723</w:t>
            </w: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4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$ 736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7"/>
            <w:vMerge w:val="restart"/>
          </w:tcPr>
          <w:p>
            <w:pPr>
              <w:spacing w:after="0"/>
              <w:rPr>
                <w:sz w:val="20"/>
                <w:szCs w:val="20"/>
                <w:color w:val="auto"/>
              </w:rPr>
            </w:pPr>
            <w:r>
              <w:rPr>
                <w:rFonts w:ascii="Arial" w:cs="Arial" w:eastAsia="Arial" w:hAnsi="Arial"/>
                <w:sz w:val="18"/>
                <w:szCs w:val="18"/>
                <w:color w:val="auto"/>
              </w:rPr>
              <w:t>Income (loss) from equity investments, net is as follows:</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68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Borders>
              <w:bottom w:val="single" w:sz="8" w:color="auto"/>
            </w:tcBorders>
            <w:gridSpan w:val="10"/>
          </w:tcPr>
          <w:p>
            <w:pPr>
              <w:ind w:left="320"/>
              <w:spacing w:after="0"/>
              <w:rPr>
                <w:sz w:val="20"/>
                <w:szCs w:val="20"/>
                <w:color w:val="auto"/>
              </w:rPr>
            </w:pPr>
            <w:r>
              <w:rPr>
                <w:rFonts w:ascii="Arial" w:cs="Arial" w:eastAsia="Arial" w:hAnsi="Arial"/>
                <w:sz w:val="14"/>
                <w:szCs w:val="14"/>
                <w:b w:val="1"/>
                <w:bCs w:val="1"/>
                <w:color w:val="auto"/>
                <w:w w:val="93"/>
              </w:rPr>
              <w:t>Fiscal Year Ended March 31,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56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680" w:type="dxa"/>
            <w:vAlign w:val="bottom"/>
            <w:gridSpan w:val="3"/>
          </w:tcPr>
          <w:p>
            <w:pPr>
              <w:jc w:val="right"/>
              <w:ind w:right="15"/>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080" w:type="dxa"/>
            <w:vAlign w:val="bottom"/>
            <w:gridSpan w:val="6"/>
          </w:tcPr>
          <w:p>
            <w:pPr>
              <w:jc w:val="right"/>
              <w:ind w:right="100"/>
              <w:spacing w:after="0" w:line="129"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420" w:type="dxa"/>
            <w:vAlign w:val="bottom"/>
            <w:tcBorders>
              <w:top w:val="single" w:sz="8" w:color="CCEEFF"/>
            </w:tcBorders>
            <w:gridSpan w:val="6"/>
            <w:shd w:val="clear" w:color="auto" w:fill="CCEEFF"/>
          </w:tcPr>
          <w:p>
            <w:pPr>
              <w:spacing w:after="0" w:line="203"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3"/>
                <w:szCs w:val="23"/>
                <w:color w:val="auto"/>
                <w:vertAlign w:val="superscript"/>
              </w:rPr>
              <w:t>(1)</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(41)</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3"/>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482</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Non-marketable equity securities (includes NAV)</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4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income (loss) from equity investments, net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left="434"/>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7"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Includes equity method investments where the Company elected the fair value option, including those under the NAV practical expedient, along with investments accounted for under the equity method.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Details of the Company’s equity method investments as of March 31, 2023 are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3400" w:type="dxa"/>
            <w:vAlign w:val="bottom"/>
            <w:gridSpan w:val="3"/>
          </w:tcPr>
          <w:p>
            <w:pPr>
              <w:spacing w:after="0"/>
              <w:rPr>
                <w:sz w:val="20"/>
                <w:szCs w:val="20"/>
                <w:color w:val="auto"/>
              </w:rPr>
            </w:pPr>
            <w:r>
              <w:rPr>
                <w:rFonts w:ascii="Arial" w:cs="Arial" w:eastAsia="Arial" w:hAnsi="Arial"/>
                <w:sz w:val="14"/>
                <w:szCs w:val="14"/>
                <w:i w:val="1"/>
                <w:iCs w:val="1"/>
                <w:color w:val="auto"/>
              </w:rPr>
              <w:t>Investments under equity method of accounting</w:t>
            </w:r>
          </w:p>
        </w:tc>
        <w:tc>
          <w:tcPr>
            <w:tcW w:w="2500" w:type="dxa"/>
            <w:vAlign w:val="bottom"/>
          </w:tcPr>
          <w:p>
            <w:pPr>
              <w:spacing w:after="0"/>
              <w:rPr>
                <w:sz w:val="14"/>
                <w:szCs w:val="14"/>
                <w:color w:val="auto"/>
              </w:rPr>
            </w:pPr>
          </w:p>
        </w:tc>
        <w:tc>
          <w:tcPr>
            <w:tcW w:w="1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Ownership Interest %</w:t>
            </w:r>
          </w:p>
        </w:tc>
        <w:tc>
          <w:tcPr>
            <w:tcW w:w="0" w:type="dxa"/>
            <w:vAlign w:val="bottom"/>
          </w:tcPr>
          <w:p>
            <w:pPr>
              <w:spacing w:after="0"/>
              <w:rPr>
                <w:sz w:val="1"/>
                <w:szCs w:val="1"/>
                <w:color w:val="auto"/>
              </w:rPr>
            </w:pPr>
          </w:p>
        </w:tc>
      </w:tr>
      <w:tr>
        <w:trPr>
          <w:trHeight w:val="142"/>
        </w:trPr>
        <w:tc>
          <w:tcPr>
            <w:tcW w:w="2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Arm IOT Fund LP (Taiwan)</w:t>
            </w:r>
          </w:p>
        </w:tc>
        <w:tc>
          <w:tcPr>
            <w:tcW w:w="25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Accelerator Advisory Limited</w:t>
            </w:r>
          </w:p>
        </w:tc>
        <w:tc>
          <w:tcPr>
            <w:tcW w:w="4080" w:type="dxa"/>
            <w:vAlign w:val="bottom"/>
            <w:gridSpan w:val="3"/>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HOPU-ARM Holding Company Limited</w:t>
            </w:r>
            <w:r>
              <w:rPr>
                <w:rFonts w:ascii="Arial" w:cs="Arial" w:eastAsia="Arial" w:hAnsi="Arial"/>
                <w:sz w:val="25"/>
                <w:szCs w:val="25"/>
                <w:color w:val="auto"/>
                <w:vertAlign w:val="superscript"/>
              </w:rPr>
              <w:t>(1)</w:t>
            </w:r>
          </w:p>
        </w:tc>
        <w:tc>
          <w:tcPr>
            <w:tcW w:w="4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DeepTech Labs Fund 1 LP</w:t>
            </w:r>
          </w:p>
        </w:tc>
        <w:tc>
          <w:tcPr>
            <w:tcW w:w="4080" w:type="dxa"/>
            <w:vAlign w:val="bottom"/>
            <w:gridSpan w:val="3"/>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80" w:type="dxa"/>
            <w:vAlign w:val="bottom"/>
            <w:gridSpan w:val="3"/>
          </w:tcPr>
          <w:p>
            <w:pPr>
              <w:jc w:val="right"/>
              <w:ind w:right="3460"/>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540" w:right="260" w:hanging="424"/>
        <w:spacing w:after="0" w:line="259"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Company’s investment in HOPU-ARM Holding Company Limited entitles the Company to a 10% equity interest in HOPU-ARM Holding Company Limited and representation on the board of directors by virtue of the right to appoint one of three members of the board of directors. Accordingly, the Company has the ability to exercise significant influence over the operating and financial policies of HOPU-ARM Holding Company Limited.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where fair value option elected (including those under the NAV practical expedient):</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Acetone Limited</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Ampere Computing Holdings LLC (“Ampere”)</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China Walden Ventures Investments II, L.P. —NAV</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China Walden Ventures Investments III, L.P. —NAV</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HOPU-ARM Innovation Fund, L.P. —NAV</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Catapult Ventures I, L.P. —NAV</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4"/>
          </w:tcPr>
          <w:p>
            <w:pPr>
              <w:spacing w:after="0"/>
              <w:rPr>
                <w:sz w:val="20"/>
                <w:szCs w:val="20"/>
                <w:color w:val="auto"/>
              </w:rPr>
            </w:pPr>
            <w:r>
              <w:rPr>
                <w:rFonts w:ascii="Arial" w:cs="Arial" w:eastAsia="Arial" w:hAnsi="Arial"/>
                <w:sz w:val="18"/>
                <w:szCs w:val="18"/>
                <w:color w:val="auto"/>
              </w:rPr>
              <w:t>Investee summarized financial data for the Company’s equity method investments is as follows: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80" w:type="dxa"/>
            <w:vAlign w:val="bottom"/>
            <w:gridSpan w:val="4"/>
          </w:tcPr>
          <w:p>
            <w:pPr>
              <w:ind w:left="440"/>
              <w:spacing w:after="0"/>
              <w:rPr>
                <w:sz w:val="20"/>
                <w:szCs w:val="20"/>
                <w:color w:val="auto"/>
              </w:rPr>
            </w:pPr>
            <w:r>
              <w:rPr>
                <w:rFonts w:ascii="Arial" w:cs="Arial" w:eastAsia="Arial" w:hAnsi="Arial"/>
                <w:sz w:val="14"/>
                <w:szCs w:val="14"/>
                <w:b w:val="1"/>
                <w:bCs w:val="1"/>
                <w:color w:val="auto"/>
              </w:rPr>
              <w:t>Balance Sheet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Pr>
          <w:p>
            <w:pPr>
              <w:spacing w:after="0"/>
              <w:rPr>
                <w:sz w:val="24"/>
                <w:szCs w:val="24"/>
                <w:color w:val="auto"/>
              </w:rPr>
            </w:pPr>
          </w:p>
        </w:tc>
        <w:tc>
          <w:tcPr>
            <w:tcW w:w="128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vMerge w:val="restart"/>
          </w:tcPr>
          <w:p>
            <w:pPr>
              <w:spacing w:after="0"/>
              <w:rPr>
                <w:sz w:val="10"/>
                <w:szCs w:val="10"/>
                <w:color w:val="auto"/>
              </w:rPr>
            </w:pPr>
          </w:p>
        </w:tc>
        <w:tc>
          <w:tcPr>
            <w:tcW w:w="7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40" w:type="dxa"/>
            <w:vAlign w:val="bottom"/>
            <w:vMerge w:val="continue"/>
          </w:tcPr>
          <w:p>
            <w:pPr>
              <w:spacing w:after="0"/>
              <w:rPr>
                <w:sz w:val="13"/>
                <w:szCs w:val="13"/>
                <w:color w:val="auto"/>
              </w:rPr>
            </w:pPr>
          </w:p>
        </w:tc>
        <w:tc>
          <w:tcPr>
            <w:tcW w:w="7840" w:type="dxa"/>
            <w:vAlign w:val="bottom"/>
            <w:gridSpan w:val="3"/>
            <w:vMerge w:val="continue"/>
          </w:tcPr>
          <w:p>
            <w:pPr>
              <w:spacing w:after="0"/>
              <w:rPr>
                <w:sz w:val="13"/>
                <w:szCs w:val="13"/>
                <w:color w:val="auto"/>
              </w:rPr>
            </w:pPr>
          </w:p>
        </w:tc>
        <w:tc>
          <w:tcPr>
            <w:tcW w:w="9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520" w:type="dxa"/>
            <w:vAlign w:val="bottom"/>
          </w:tcPr>
          <w:p>
            <w:pPr>
              <w:spacing w:after="0"/>
              <w:rPr>
                <w:sz w:val="13"/>
                <w:szCs w:val="13"/>
                <w:color w:val="auto"/>
              </w:rPr>
            </w:pP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78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Current assets</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1,410</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2,158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Income Statement</w:t>
            </w:r>
          </w:p>
        </w:tc>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2023</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60" w:type="dxa"/>
            <w:vAlign w:val="bottom"/>
            <w:gridSpan w:val="2"/>
            <w:vMerge w:val="restart"/>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ind w:right="76"/>
              <w:spacing w:after="0" w:line="126" w:lineRule="exact"/>
              <w:rPr>
                <w:sz w:val="20"/>
                <w:szCs w:val="20"/>
                <w:color w:val="auto"/>
              </w:rPr>
            </w:pPr>
            <w:r>
              <w:rPr>
                <w:rFonts w:ascii="Arial" w:cs="Arial" w:eastAsia="Arial" w:hAnsi="Arial"/>
                <w:sz w:val="14"/>
                <w:szCs w:val="14"/>
                <w:b w:val="1"/>
                <w:bCs w:val="1"/>
                <w:color w:val="auto"/>
                <w:w w:val="95"/>
              </w:rPr>
              <w:t>Total</w:t>
            </w: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22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380" w:type="dxa"/>
            <w:vAlign w:val="bottom"/>
          </w:tcPr>
          <w:p>
            <w:pPr>
              <w:spacing w:after="0"/>
              <w:rPr>
                <w:sz w:val="15"/>
                <w:szCs w:val="15"/>
                <w:color w:val="auto"/>
              </w:rPr>
            </w:pPr>
          </w:p>
        </w:tc>
        <w:tc>
          <w:tcPr>
            <w:tcW w:w="156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Revenue or income.</w:t>
            </w: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w:t>
            </w:r>
          </w:p>
        </w:tc>
        <w:tc>
          <w:tcPr>
            <w:tcW w:w="4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1,610</w:t>
            </w:r>
          </w:p>
        </w:tc>
        <w:tc>
          <w:tcPr>
            <w:tcW w:w="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1940" w:type="dxa"/>
            <w:vAlign w:val="bottom"/>
            <w:gridSpan w:val="3"/>
          </w:tcPr>
          <w:p>
            <w:pPr>
              <w:jc w:val="right"/>
              <w:ind w:right="800"/>
              <w:spacing w:after="0"/>
              <w:rPr>
                <w:sz w:val="20"/>
                <w:szCs w:val="20"/>
                <w:color w:val="auto"/>
              </w:rPr>
            </w:pPr>
            <w:r>
              <w:rPr>
                <w:rFonts w:ascii="Arial" w:cs="Arial" w:eastAsia="Arial" w:hAnsi="Arial"/>
                <w:sz w:val="18"/>
                <w:szCs w:val="18"/>
                <w:color w:val="auto"/>
              </w:rPr>
              <w:t>1,018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(losses) on equity method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(367)</w:t>
            </w:r>
          </w:p>
        </w:tc>
        <w:tc>
          <w:tcPr>
            <w:tcW w:w="1940" w:type="dxa"/>
            <w:vAlign w:val="bottom"/>
            <w:gridSpan w:val="3"/>
          </w:tcPr>
          <w:p>
            <w:pPr>
              <w:jc w:val="right"/>
              <w:ind w:right="800"/>
              <w:spacing w:after="0"/>
              <w:rPr>
                <w:sz w:val="20"/>
                <w:szCs w:val="20"/>
                <w:color w:val="auto"/>
              </w:rPr>
            </w:pPr>
            <w:r>
              <w:rPr>
                <w:rFonts w:ascii="Arial" w:cs="Arial" w:eastAsia="Arial" w:hAnsi="Arial"/>
                <w:sz w:val="18"/>
                <w:szCs w:val="18"/>
                <w:color w:val="auto"/>
              </w:rPr>
              <w:t>521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Investments in a limited liability company that maintains a specific ownership or limited partnerships which the Company has more than virtually no influence (i.e., at least 3% to 5% ownership) over the investee are accounted for using the equity method.</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 xml:space="preserve">The Company elected the fair value option to account for certain equity method investments. See the discussion below regarding Arm China, Acetone Limited, and Ampere, along with Note 13, </w:t>
      </w:r>
      <w:r>
        <w:rPr>
          <w:rFonts w:ascii="Arial" w:cs="Arial" w:eastAsia="Arial" w:hAnsi="Arial"/>
          <w:sz w:val="18"/>
          <w:szCs w:val="18"/>
          <w:i w:val="1"/>
          <w:iCs w:val="1"/>
          <w:color w:val="auto"/>
        </w:rPr>
        <w:t>Fair Value</w:t>
      </w:r>
      <w:r>
        <w:rPr>
          <w:rFonts w:ascii="Arial" w:cs="Arial" w:eastAsia="Arial" w:hAnsi="Arial"/>
          <w:sz w:val="18"/>
          <w:szCs w:val="18"/>
          <w:color w:val="auto"/>
        </w:rPr>
        <w:t>, for further information.</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the fiscal years ended March 31, 2023, 2022 and 2021, income (losses) from equity method investments not accounted under the fair value option or the NAV practical expedient was immaterial.</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partnerships based on the indicated market values of the underlying assets or investment portfolios. As of March 31, 2023 and 2022, the carrying value of equity method investments under the fair value option measured at NAV was $109.4 million and $106.9 million, respectively.</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For the fiscal years ended March 31, 2023, 2022 and 2021, the Company recognized gains from changes in fair value of $1.7 million, $40.0 million and $8.3 million, respectively, for equity method investments accounted for under the NAV practical expedient. Changes in fair value are recorded through income from equity investments, net on the Consolidated Income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 and Acetone Limited</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Prior to restructuring its investment in March 2022, the Company held an equity method investment in Arm China. Factors resulting in significant influence included: (a) the Company held a 48.18% equity holding in Arm China with associated rights; (b) the Company was party to the IPLA and has service share transactions with Arm China, along with certain leases; and (c) the Company had the ability to nominate a representative to Arm China’s board of directors. The Company elected to apply the fair value option to this equity method investment.</w:t>
      </w:r>
    </w:p>
    <w:p>
      <w:pPr>
        <w:spacing w:after="0" w:line="17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Pursuant to the IPLA, a substantial portion of customer contracts previously held by the Company’s former PRC subsidiary were novated to Arm China; under such contracts the Company is entitled to a share of revenue earned by Arm China. Where contracts were not novated from the Company’s former PRC subsidiary to Arm China, the Company has an obligation to pay a reseller fee on the revenue derived from those entities within the PRC geography.</w:t>
      </w:r>
    </w:p>
    <w:p>
      <w:pPr>
        <w:spacing w:after="0" w:line="14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March 2022, the Company transferred its interest in Arm China to Acetone Limited, a newly created company. Immediately thereafter, the Company transferred 67% of its interest in Acetone Limited, to SoftBank Capital Group Limited (“SBGC”), and 23% of its interest in SVF Holdco Limited (“SVF”) for a note receivable of $930.3 million (the “Note Receivable”). The Note Receivable was immediately distributed proportionally to SBGC and SVF (the Company’s only shareholders), both entities under common control of SoftBank, free of cost and accordingly, treated similar to a dividend or distribution to the immediate shareholders of the Company as a reduction to retained earnings.</w:t>
      </w:r>
    </w:p>
    <w:p>
      <w:pPr>
        <w:spacing w:after="0" w:line="17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Company retained a 10% non-voting shareholding interest in Acetone Limited. The Company concluded it did not control Acetone Limited, as its 10% shareholding interest is a non-voting interest, and the Company did not have any rights to nominate a director to Acetone Limited’s board of directors. However, the Company did conclude that it has significant influence in Acetone Limited, as (a) Acetone Limited’s sole asset is its 48.18% equity holding in Arm China, (b) the Company is party to the IPLA with Arm China, (c) the Company has significant inter-entity transactions with Arm China, including leased assets; and (d) the Company’s Chief Executive Officer has been appointed to Arm China’s board of directors by SoftBank. The Company elected to apply the fair value option to this retained equity method investment.</w:t>
      </w:r>
    </w:p>
    <w:p>
      <w:pPr>
        <w:spacing w:after="0" w:line="178"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As a result of these transactions, in March 2022, the Company removed the carrying value of its equity investment in Arm China of $1,084.1 million and recognized its investment in Acetone Limited at $108.4 million, with net distribution to immediate shareholders of the Company recognized as a reduction to retained earnings of $975.7 million. As of March 31, 2023 and 2022, the carrying value of the Company’s equity method investment in Acetone Limited was $92.4 million and $108.4 million, respectively</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the fiscal years ended March 31, 2022, and 2021, the Company recognized fair value gains of $72.3 million, and $132.5 million, respectively in connection with equity method investment in Arm China, and immaterial amounts associated with its retained interest in Acetone Limited. For the fiscal year ended March 31, 2023, the Company recognized fair value losses of $16.0 million in connection with equity method investment in Acetone Limited.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Ampere</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As of March 31, 2023 and 2022, the carrying value of the Company’s equity method investment in Ampere was $389.8 million and $416.2 million, respectively. The Company elected to apply the fair value option to this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equity method investment. For the fiscal years ended March 31, 2023, and 2021, the Company recognized a fair value (loss) and a gain of</w:t>
      </w:r>
    </w:p>
    <w:p>
      <w:pPr>
        <w:spacing w:after="0" w:line="3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$(26.3) million and $341.2 million, respectively. Fair value gains and losses for this investment were immaterial for the fiscal year ended March 31, 2022.</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December 2021, the Company acquired a $29.0 million convertible promissory note in Ampere, which is included in other non-current assets on the Consolidated Balance Sheets. As of March 31, 2023, the outstanding balance of the convertible promissory note was $30.9 million. The Company’s maximum exposure to loss are the amounts invested in, and advanced to, Ampere as of March 31,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March 31, 2023 and 2022, the carrying value of assets measured at NAV was $18.0 million and $28.5 million, respectively. For the fiscal years ended March 31, 2023, the Company recognized a loss from changes in fair value of $10.5 million for non-marketable securities accounted for under the NAV practical expedient. Accordingly, the Company recognized gains from changes in fair value of $7.9 million, and $10.1 million for fiscal years ended March 31, 2022 and 2021, respectively.</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Historically, the Company had an unrecognized trade receivable with a customer given the collectability of substantially all of the consideration was not probable. In March 2023, the Company invested in non-marketable preferred stock from the customer in exchange for the conversion of the trade receivables for $12.7 million. The Company also acquired additional non-marketable preferred stock in exchange for a cash payment of $10.7 million. Currently, the Company does not recognize any revenue and receivables due to not meeting the collectability criterion under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does not have significant influence or control over the customer and elected to apply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 for this investment.</w:t>
      </w:r>
    </w:p>
    <w:p>
      <w:pPr>
        <w:spacing w:after="0" w:line="192"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components of gains (losses) which primarily include unrealized gains and losses on non-marketable securities inclusive of those measured under the NAV practical expedient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Fiscal Years Ended March 31,</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5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2023</w:t>
            </w:r>
          </w:p>
        </w:tc>
        <w:tc>
          <w:tcPr>
            <w:tcW w:w="360" w:type="dxa"/>
            <w:vAlign w:val="bottom"/>
          </w:tcPr>
          <w:p>
            <w:pPr>
              <w:spacing w:after="0"/>
              <w:rPr>
                <w:sz w:val="12"/>
                <w:szCs w:val="12"/>
                <w:color w:val="auto"/>
              </w:rPr>
            </w:pPr>
          </w:p>
        </w:tc>
        <w:tc>
          <w:tcPr>
            <w:tcW w:w="7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Observable price adjustments on non-marketable equity securities (includes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NAV)</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Impairment of non-marketable equity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19"/>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40" w:type="dxa"/>
            <w:vAlign w:val="bottom"/>
            <w:gridSpan w:val="2"/>
          </w:tcPr>
          <w:p>
            <w:pPr>
              <w:jc w:val="right"/>
              <w:ind w:right="20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non-marketable equity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Total gains (losses) on non-marketable securities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All investments held by the Company are considered long-term to enable ecosystem growth and are non-current assets. For the fiscal years ended March 31, 2023, 2022, and 2021, the Company received $1.0 million, $2.4 million and $3.2 million, respectively, in dividends from equity investments measured using the NAV practical expedient. The total amount of financial commitments to existing investees of the Company not provided for in the consolidated financial statements was $22.1 million, $25.0 million and $ 23.6 million as of March 31, 2023, 2022 and 2021, respectively.</w:t>
      </w:r>
    </w:p>
    <w:p>
      <w:pPr>
        <w:spacing w:after="0" w:line="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60"/>
          </w:cols>
          <w:pgMar w:left="320" w:top="459" w:right="51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and Other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and other receivables carried at amortized cost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90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Loans and other receivables carried at amortized cost</w:t>
            </w: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Allowance for current expected credit losses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 and other receivables carried at amortized cost, net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allowance for current expected credit losses reflects the Company’s best estimate of expected credit losses of the receivables portfolio determined on the basis of historical experience, current information, and forecasts of future economic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Loans receivable</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Company issued a four-year loan of $25.0 million to Arduino SA (“Arduino”) in July 2017. In March 2020, the Company amended the terms of the loan receivable by reducing the annual interest rate from 6% to 3% and in conjunction with the amendment, the Company received Series A preferred stock of Arduino to partially settle the loan receivable. In April 2022, the Company received Series B preferred stock in Arduino of $5.1 million to partially settle the loan receivable. The Company accounts for this investment using the measurement alternative because such security is not publicly traded and does not have a readily determinable fair value. For the fiscal year ended March 31, 2021, the Company recognized an impairment loss of $11.0 million related to such investment. For the fiscal years ended March 31, 2023 and 2022, the Company did not record any impairment related to such investment.</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July 2021, the Company further amended the terms of the loan receivable by extending the maturity date from July 2021 to April 2027. These amendments were accounted for as a troubled debt restructuring. Under the troubled debt restructuring, unamortized fees and costs are carried forward and continue to be included in the amortized cost basis of the loan receivable. Other direct third-party costs incurred were expensed as incurred and were included in other non-operating income (loss), net on the Consolidated Income Statements. The Company did not receive any fees in connection with these troubled debt restructurings. There were no payment defaults as the accrued interest and the principal amount of the loan receivable was only required to be repaid at maturity.</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For the fiscal year ended March 31, 2021, the loan receivable of $23.0 million from Arduino was impaired in full as the balance was not expected to be recovered, resulting in the recognition of an expected credit loss of $23.0 million. The expected credit loss was recorded in other non-operating income (loss), net on the Consolidated Income Statements. For the fiscal year ended March 31, 2023, the Company reduced the allowance for expected credit losses given the change in collectability with a corresponding reversal expense for the portion of the loan receivable that was repaid in exchange for Series B preferred stock in Arduino.</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to the aforementioned Arduino loan receivable, the remaining balance for the fiscal year ended March 31, 2023 and 2022 comprised a four-year loan of $3.0 million issued to Cerfe Labs, Inc., included in other loans receivable. The loan is at an interest rate comparable to market interest rates, with repayment due upon maturity. In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year ended March 31, 2023, the Company fully impaired the loan and the expected credit loss was recorded in other non-operating income (loss), net on the Consolidated Income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See Note 21,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further information on loans to related parties.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In November 2021, the Company sold 100% of its ownership in IoTP to the Company’s immediate shareholders for $12.0 million in cash consideration. Balances included in other receivables comprised mainly of the</w:t>
      </w:r>
    </w:p>
    <w:p>
      <w:pPr>
        <w:spacing w:after="0" w:line="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 xml:space="preserve">$12.0 million receivable from the Company’s immediate shareholders recorded in prepaid and other current assets on the Consolidated Balance Sheets as of March 31, 2023. 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information about the sale of IoTP to the immediate shareholders of the Company.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June 2020, the Company acquired a $2.9 million principal balance convertible loan in PragmatIC Semiconductor Limited (“PragmatIC”). The entire convertible loan was converted to equity of PragmatIC Semiconductor Limited in October 2021. As of March 31, 2023 and 2022, the carrying value of the Company’s non-marketable equity security in PragmatIC was $39.0 million, respectively. The Company accounts for the investment using the measurement alternative because the securities are not publicly traded and do not have a readily determinable fair value.</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December 2021, the Company acquired a $29.0 million principal balance convertible loan in Ampere. The Company elected the fair value option to measure this convertible loan receivable for which changes in fair value are recorded in other non-operating income (loss), net on the Consolidated Income Statements. For the fiscal year ended March 31, 2023, the Company recognized a gain of $2.0 million for this loan receivable. No material gains or losses were recognized for the fiscal year ended March 31, 2022.</w:t>
      </w:r>
    </w:p>
    <w:p>
      <w:pPr>
        <w:spacing w:after="0" w:line="331"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As of March 31, 2023, the notional value of outstanding foreign currency forward contracts was £340.0 million and the fair value was $9.3 million. As of March 31, 2022, the notional value of outstanding foreign currency forward contracts was £320.0 million and the fair value was $(9.4) million.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notional amounts of the Company’s outstanding derivative instruments: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600" w:type="dxa"/>
            <w:vAlign w:val="bottom"/>
            <w:vMerge w:val="restart"/>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As of March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Designated as cash flow hedges</w:t>
            </w:r>
          </w:p>
        </w:tc>
        <w:tc>
          <w:tcPr>
            <w:tcW w:w="16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79"/>
              <w:spacing w:after="0"/>
              <w:rPr>
                <w:sz w:val="20"/>
                <w:szCs w:val="20"/>
                <w:color w:val="auto"/>
              </w:rPr>
            </w:pPr>
            <w:r>
              <w:rPr>
                <w:rFonts w:ascii="Arial" w:cs="Arial" w:eastAsia="Arial" w:hAnsi="Arial"/>
                <w:sz w:val="18"/>
                <w:szCs w:val="18"/>
                <w:color w:val="auto"/>
                <w:w w:val="86"/>
              </w:rPr>
              <w:t>411</w:t>
            </w: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Non-designated hedges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0"/>
                <w:szCs w:val="20"/>
                <w:color w:val="auto"/>
              </w:rPr>
            </w:pPr>
            <w:r>
              <w:rPr>
                <w:rFonts w:ascii="Arial" w:cs="Arial" w:eastAsia="Arial" w:hAnsi="Arial"/>
                <w:sz w:val="18"/>
                <w:szCs w:val="18"/>
                <w:color w:val="auto"/>
                <w:w w:val="97"/>
              </w:rPr>
              <w:t>$ 430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20" w:type="dxa"/>
            <w:vAlign w:val="bottom"/>
            <w:gridSpan w:val="9"/>
          </w:tcPr>
          <w:p>
            <w:pPr>
              <w:spacing w:after="0"/>
              <w:rPr>
                <w:sz w:val="20"/>
                <w:szCs w:val="20"/>
                <w:color w:val="auto"/>
              </w:rPr>
            </w:pPr>
            <w:r>
              <w:rPr>
                <w:rFonts w:ascii="Arial" w:cs="Arial" w:eastAsia="Arial" w:hAnsi="Arial"/>
                <w:sz w:val="18"/>
                <w:szCs w:val="18"/>
                <w:color w:val="auto"/>
                <w:w w:val="93"/>
              </w:rPr>
              <w:t>The following table presents the fair value of the Company’s outstanding derivative instruments: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6"/>
          </w:tcPr>
          <w:p>
            <w:pPr>
              <w:ind w:left="60"/>
              <w:spacing w:after="0"/>
              <w:rPr>
                <w:sz w:val="20"/>
                <w:szCs w:val="20"/>
                <w:color w:val="auto"/>
              </w:rPr>
            </w:pPr>
            <w:r>
              <w:rPr>
                <w:rFonts w:ascii="Arial" w:cs="Arial" w:eastAsia="Arial" w:hAnsi="Arial"/>
                <w:sz w:val="14"/>
                <w:szCs w:val="14"/>
                <w:b w:val="1"/>
                <w:bCs w:val="1"/>
                <w:color w:val="auto"/>
              </w:rPr>
              <w:t>Derivative Assets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7"/>
          </w:tcPr>
          <w:p>
            <w:pPr>
              <w:ind w:left="240"/>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71"/>
        </w:trPr>
        <w:tc>
          <w:tcPr>
            <w:tcW w:w="440" w:type="dxa"/>
            <w:vAlign w:val="bottom"/>
            <w:vMerge w:val="restart"/>
          </w:tcPr>
          <w:p>
            <w:pPr>
              <w:spacing w:after="0"/>
              <w:rPr>
                <w:sz w:val="14"/>
                <w:szCs w:val="14"/>
                <w:color w:val="auto"/>
              </w:rPr>
            </w:pPr>
          </w:p>
        </w:tc>
        <w:tc>
          <w:tcPr>
            <w:tcW w:w="4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ind w:left="100"/>
              <w:spacing w:after="0"/>
              <w:rPr>
                <w:sz w:val="20"/>
                <w:szCs w:val="20"/>
                <w:color w:val="auto"/>
              </w:rPr>
            </w:pPr>
            <w:r>
              <w:rPr>
                <w:rFonts w:ascii="Arial" w:cs="Arial" w:eastAsia="Arial" w:hAnsi="Arial"/>
                <w:sz w:val="14"/>
                <w:szCs w:val="14"/>
                <w:b w:val="1"/>
                <w:bCs w:val="1"/>
                <w:color w:val="auto"/>
              </w:rPr>
              <w:t>As of March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 March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0" w:type="dxa"/>
            <w:vAlign w:val="bottom"/>
            <w:vMerge w:val="continue"/>
          </w:tcPr>
          <w:p>
            <w:pPr>
              <w:spacing w:after="0"/>
              <w:rPr>
                <w:sz w:val="11"/>
                <w:szCs w:val="11"/>
                <w:color w:val="auto"/>
              </w:rPr>
            </w:pPr>
          </w:p>
        </w:tc>
        <w:tc>
          <w:tcPr>
            <w:tcW w:w="4220" w:type="dxa"/>
            <w:vAlign w:val="bottom"/>
            <w:gridSpan w:val="4"/>
            <w:vMerge w:val="continue"/>
          </w:tcPr>
          <w:p>
            <w:pPr>
              <w:spacing w:after="0"/>
              <w:rPr>
                <w:sz w:val="11"/>
                <w:szCs w:val="11"/>
                <w:color w:val="auto"/>
              </w:rPr>
            </w:pPr>
          </w:p>
        </w:tc>
        <w:tc>
          <w:tcPr>
            <w:tcW w:w="1620" w:type="dxa"/>
            <w:vAlign w:val="bottom"/>
          </w:tcPr>
          <w:p>
            <w:pPr>
              <w:spacing w:after="0"/>
              <w:rPr>
                <w:sz w:val="11"/>
                <w:szCs w:val="11"/>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2022</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79"/>
              <w:spacing w:after="0" w:line="12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 w:type="dxa"/>
            <w:vAlign w:val="bottom"/>
          </w:tcPr>
          <w:p>
            <w:pPr>
              <w:spacing w:after="0"/>
              <w:rPr>
                <w:sz w:val="16"/>
                <w:szCs w:val="16"/>
                <w:color w:val="auto"/>
              </w:rPr>
            </w:pPr>
          </w:p>
        </w:tc>
        <w:tc>
          <w:tcPr>
            <w:tcW w:w="42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Designated as cash flow hedges</w:t>
            </w:r>
          </w:p>
        </w:tc>
        <w:tc>
          <w:tcPr>
            <w:tcW w:w="1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Foreign currency forward contracts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Non-designated hedges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Foreign currency forward contracts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60" w:type="dxa"/>
            <w:vAlign w:val="bottom"/>
            <w:gridSpan w:val="2"/>
          </w:tcPr>
          <w:p>
            <w:pPr>
              <w:jc w:val="right"/>
              <w:ind w:right="568"/>
              <w:spacing w:after="0"/>
              <w:rPr>
                <w:sz w:val="20"/>
                <w:szCs w:val="20"/>
                <w:color w:val="auto"/>
              </w:rPr>
            </w:pPr>
            <w:r>
              <w:rPr>
                <w:rFonts w:ascii="Arial" w:cs="Arial" w:eastAsia="Arial" w:hAnsi="Arial"/>
                <w:sz w:val="18"/>
                <w:szCs w:val="18"/>
                <w:color w:val="auto"/>
              </w:rPr>
              <w:t>F-41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Hedge Gains (Losses)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net gains (losses) on foreign currency forward contracts designated as cash flow hedges: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1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4"/>
              </w:rPr>
              <w:t>Fiscal Years Ended March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Consolidated Statements of Comprehensive Income:</w:t>
            </w: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20" w:type="dxa"/>
            <w:vAlign w:val="bottom"/>
            <w:gridSpan w:val="2"/>
          </w:tcPr>
          <w:p>
            <w:pPr>
              <w:spacing w:after="0" w:line="201" w:lineRule="exact"/>
              <w:rPr>
                <w:sz w:val="20"/>
                <w:szCs w:val="20"/>
                <w:color w:val="auto"/>
              </w:rPr>
            </w:pPr>
            <w:r>
              <w:rPr>
                <w:rFonts w:ascii="Arial" w:cs="Arial" w:eastAsia="Arial" w:hAnsi="Arial"/>
                <w:sz w:val="18"/>
                <w:szCs w:val="18"/>
                <w:color w:val="auto"/>
                <w:w w:val="96"/>
              </w:rPr>
              <w:t>Gains reclassified in Accumulated other comprehensive income on cash flow</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hedge derivatives</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Loss reclassified from Accumulated other comprehensive income into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Tax expense on cash flow hedges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Net change in fair value of the effective portion of</w:t>
            </w: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540"/>
              <w:spacing w:after="0" w:line="230" w:lineRule="exact"/>
              <w:rPr>
                <w:sz w:val="20"/>
                <w:szCs w:val="20"/>
                <w:color w:val="auto"/>
              </w:rPr>
            </w:pPr>
            <w:r>
              <w:rPr>
                <w:rFonts w:ascii="Arial" w:cs="Arial" w:eastAsia="Arial" w:hAnsi="Arial"/>
                <w:sz w:val="18"/>
                <w:szCs w:val="18"/>
                <w:color w:val="auto"/>
              </w:rPr>
              <w:t>designated cash flow hedges, net of tax</w:t>
            </w:r>
            <w:r>
              <w:rPr>
                <w:rFonts w:ascii="Arial" w:cs="Arial" w:eastAsia="Arial" w:hAnsi="Arial"/>
                <w:sz w:val="26"/>
                <w:szCs w:val="26"/>
                <w:color w:val="auto"/>
                <w:vertAlign w:val="superscript"/>
              </w:rPr>
              <w:t>(1)</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920" w:type="dxa"/>
            <w:vAlign w:val="bottom"/>
            <w:gridSpan w:val="2"/>
          </w:tcPr>
          <w:p>
            <w:pPr>
              <w:spacing w:after="0"/>
              <w:rPr>
                <w:sz w:val="20"/>
                <w:szCs w:val="20"/>
                <w:color w:val="auto"/>
              </w:rPr>
            </w:pPr>
            <w:r>
              <w:rPr>
                <w:rFonts w:ascii="Arial" w:cs="Arial" w:eastAsia="Arial" w:hAnsi="Arial"/>
                <w:sz w:val="18"/>
                <w:szCs w:val="18"/>
                <w:color w:val="auto"/>
              </w:rPr>
              <w:t>Consolidated Income Statements, before tax:</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300" w:hanging="424"/>
        <w:spacing w:after="0" w:line="27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amounts reported in Accumulated other comprehensive income at the reporting date are expected to be reclassified into earnings within the next 12 months.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Non-designated Hedging Instrument Gains (Losses)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net gains (losses) on derivatives not designated as hedging instruments recorded in non-operating income (loss), net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Consolidated Income Statements: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60" w:type="dxa"/>
            <w:vAlign w:val="bottom"/>
            <w:vMerge w:val="restart"/>
          </w:tcPr>
          <w:p>
            <w:pPr>
              <w:spacing w:after="0"/>
              <w:rPr>
                <w:sz w:val="14"/>
                <w:szCs w:val="14"/>
                <w:color w:val="auto"/>
              </w:rPr>
            </w:pPr>
          </w:p>
        </w:tc>
        <w:tc>
          <w:tcPr>
            <w:tcW w:w="18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Fiscal Years ended March 31,</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2023</w:t>
            </w:r>
          </w:p>
        </w:tc>
        <w:tc>
          <w:tcPr>
            <w:tcW w:w="1240" w:type="dxa"/>
            <w:vAlign w:val="bottom"/>
            <w:gridSpan w:val="2"/>
          </w:tcPr>
          <w:p>
            <w:pPr>
              <w:jc w:val="center"/>
              <w:ind w:left="648"/>
              <w:spacing w:after="0" w:line="129" w:lineRule="exact"/>
              <w:rPr>
                <w:sz w:val="20"/>
                <w:szCs w:val="20"/>
                <w:color w:val="auto"/>
              </w:rPr>
            </w:pPr>
            <w:r>
              <w:rPr>
                <w:rFonts w:ascii="Arial" w:cs="Arial" w:eastAsia="Arial" w:hAnsi="Arial"/>
                <w:sz w:val="14"/>
                <w:szCs w:val="14"/>
                <w:b w:val="1"/>
                <w:bCs w:val="1"/>
                <w:color w:val="auto"/>
                <w:w w:val="89"/>
              </w:rPr>
              <w:t>2022</w:t>
            </w:r>
          </w:p>
        </w:tc>
        <w:tc>
          <w:tcPr>
            <w:tcW w:w="680" w:type="dxa"/>
            <w:vAlign w:val="bottom"/>
          </w:tcPr>
          <w:p>
            <w:pPr>
              <w:spacing w:after="0"/>
              <w:rPr>
                <w:sz w:val="12"/>
                <w:szCs w:val="12"/>
                <w:color w:val="auto"/>
              </w:rPr>
            </w:pPr>
          </w:p>
        </w:tc>
        <w:tc>
          <w:tcPr>
            <w:tcW w:w="540" w:type="dxa"/>
            <w:vAlign w:val="bottom"/>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Foreign currency forward contracts</w:t>
            </w:r>
          </w:p>
        </w:tc>
        <w:tc>
          <w:tcPr>
            <w:tcW w:w="18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(30)</w:t>
            </w:r>
          </w:p>
        </w:tc>
        <w:tc>
          <w:tcPr>
            <w:tcW w:w="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(17)</w:t>
            </w:r>
          </w:p>
        </w:tc>
        <w:tc>
          <w:tcPr>
            <w:tcW w:w="6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The Company classifies foreign currency forward contracts as Level 2 fair value measurements pursuant to the fair value hierarchy. See Note 13,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w:t>
      </w:r>
      <w:r>
        <w:rPr>
          <w:rFonts w:ascii="Arial" w:cs="Arial" w:eastAsia="Arial" w:hAnsi="Arial"/>
          <w:sz w:val="18"/>
          <w:szCs w:val="18"/>
          <w:color w:val="auto"/>
        </w:rPr>
        <w:t>for further details.</w:t>
      </w:r>
    </w:p>
    <w:p>
      <w:pPr>
        <w:spacing w:after="0" w:line="315"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measurement levels for any periods presented.</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presents the Company’s fair value hierarchy for the liability measured and recognized at fair value as of March 31, 2023 and 2022 on a recurring basis: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March 31,</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440" w:type="dxa"/>
            <w:vAlign w:val="bottom"/>
            <w:vMerge w:val="restart"/>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440" w:type="dxa"/>
            <w:vAlign w:val="bottom"/>
            <w:vMerge w:val="continue"/>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2"/>
                <w:szCs w:val="12"/>
                <w:color w:val="auto"/>
              </w:rPr>
            </w:pPr>
          </w:p>
        </w:tc>
        <w:tc>
          <w:tcPr>
            <w:tcW w:w="3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3</w:t>
            </w:r>
          </w:p>
        </w:tc>
        <w:tc>
          <w:tcPr>
            <w:tcW w:w="360" w:type="dxa"/>
            <w:vAlign w:val="bottom"/>
          </w:tcPr>
          <w:p>
            <w:pPr>
              <w:spacing w:after="0"/>
              <w:rPr>
                <w:sz w:val="12"/>
                <w:szCs w:val="12"/>
                <w:color w:val="auto"/>
              </w:rPr>
            </w:pPr>
          </w:p>
        </w:tc>
        <w:tc>
          <w:tcPr>
            <w:tcW w:w="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liabilities</w:t>
            </w: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F-42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tables present the Company’s fair value hierarchy for assets measured and recognized at fair value, excluding investments where the NAV practical expedient has been elected as of March 31, 2023 and 2022 on a recurring basis: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As of March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660" w:type="dxa"/>
            <w:vAlign w:val="bottom"/>
            <w:vMerge w:val="restart"/>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15"/>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660" w:type="dxa"/>
            <w:vAlign w:val="bottom"/>
            <w:vMerge w:val="continue"/>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3"/>
              </w:rPr>
              <w:t>Total</w:t>
            </w:r>
          </w:p>
        </w:tc>
        <w:tc>
          <w:tcPr>
            <w:tcW w:w="280" w:type="dxa"/>
            <w:vAlign w:val="bottom"/>
          </w:tcPr>
          <w:p>
            <w:pPr>
              <w:spacing w:after="0"/>
              <w:rPr>
                <w:sz w:val="12"/>
                <w:szCs w:val="12"/>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line="216"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5"/>
                <w:szCs w:val="25"/>
                <w:color w:val="auto"/>
                <w:vertAlign w:val="superscript"/>
              </w:rPr>
              <w:t>(1)</w:t>
            </w:r>
          </w:p>
        </w:tc>
        <w:tc>
          <w:tcPr>
            <w:tcW w:w="460" w:type="dxa"/>
            <w:vAlign w:val="bottom"/>
            <w:gridSpan w:val="2"/>
          </w:tcPr>
          <w:p>
            <w:pPr>
              <w:spacing w:after="0"/>
              <w:rPr>
                <w:sz w:val="20"/>
                <w:szCs w:val="20"/>
                <w:color w:val="auto"/>
              </w:rPr>
            </w:pPr>
            <w:r>
              <w:rPr>
                <w:rFonts w:ascii="Arial" w:cs="Arial" w:eastAsia="Arial" w:hAnsi="Arial"/>
                <w:sz w:val="18"/>
                <w:szCs w:val="18"/>
                <w:color w:val="auto"/>
                <w:w w:val="97"/>
              </w:rPr>
              <w:t>$ 661</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661</w:t>
            </w:r>
          </w:p>
        </w:tc>
        <w:tc>
          <w:tcPr>
            <w:tcW w:w="580" w:type="dxa"/>
            <w:vAlign w:val="bottom"/>
            <w:gridSpan w:val="2"/>
          </w:tcPr>
          <w:p>
            <w:pPr>
              <w:spacing w:after="0"/>
              <w:rPr>
                <w:sz w:val="20"/>
                <w:szCs w:val="20"/>
                <w:color w:val="auto"/>
              </w:rPr>
            </w:pPr>
            <w:r>
              <w:rPr>
                <w:rFonts w:ascii="Arial" w:cs="Arial" w:eastAsia="Arial" w:hAnsi="Arial"/>
                <w:sz w:val="18"/>
                <w:szCs w:val="18"/>
                <w:color w:val="auto"/>
              </w:rPr>
              <w:t>$ 631</w:t>
            </w:r>
          </w:p>
        </w:tc>
        <w:tc>
          <w:tcPr>
            <w:tcW w:w="580" w:type="dxa"/>
            <w:vAlign w:val="bottom"/>
            <w:gridSpan w:val="2"/>
          </w:tcPr>
          <w:p>
            <w:pPr>
              <w:jc w:val="right"/>
              <w:ind w:right="14"/>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method investments</w:t>
            </w:r>
            <w:r>
              <w:rPr>
                <w:rFonts w:ascii="Arial" w:cs="Arial" w:eastAsia="Arial" w:hAnsi="Arial"/>
                <w:sz w:val="25"/>
                <w:szCs w:val="25"/>
                <w:color w:val="auto"/>
                <w:vertAlign w:val="superscript"/>
              </w:rPr>
              <w:t>(2)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Convertible loans receivable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$ 661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$ 513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1,184</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$ 631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$ 553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27"/>
          <w:szCs w:val="27"/>
          <w:color w:val="auto"/>
          <w:vertAlign w:val="superscript"/>
        </w:rPr>
      </w:pPr>
      <w:r>
        <w:rPr>
          <w:rFonts w:ascii="Arial" w:cs="Arial" w:eastAsia="Arial" w:hAnsi="Arial"/>
          <w:sz w:val="18"/>
          <w:szCs w:val="18"/>
          <w:color w:val="auto"/>
        </w:rPr>
        <w:t>Short-term investments represent term deposits with banks with a maturity between three and 12 months</w:t>
      </w:r>
    </w:p>
    <w:p>
      <w:pPr>
        <w:spacing w:after="0" w:line="1" w:lineRule="exact"/>
        <w:rPr>
          <w:rFonts w:ascii="Arial" w:cs="Arial" w:eastAsia="Arial" w:hAnsi="Arial"/>
          <w:sz w:val="27"/>
          <w:szCs w:val="27"/>
          <w:color w:val="auto"/>
          <w:vertAlign w:val="superscript"/>
        </w:rPr>
      </w:pPr>
    </w:p>
    <w:p>
      <w:pPr>
        <w:ind w:left="540" w:right="280" w:hanging="424"/>
        <w:spacing w:after="0" w:line="199" w:lineRule="auto"/>
        <w:tabs>
          <w:tab w:leader="none" w:pos="540" w:val="left"/>
        </w:tabs>
        <w:numPr>
          <w:ilvl w:val="0"/>
          <w:numId w:val="146"/>
        </w:numPr>
        <w:rPr>
          <w:rFonts w:ascii="Arial" w:cs="Arial" w:eastAsia="Arial" w:hAnsi="Arial"/>
          <w:sz w:val="27"/>
          <w:szCs w:val="27"/>
          <w:color w:val="auto"/>
          <w:vertAlign w:val="superscript"/>
        </w:rPr>
      </w:pPr>
      <w:r>
        <w:rPr>
          <w:rFonts w:ascii="Arial" w:cs="Arial" w:eastAsia="Arial" w:hAnsi="Arial"/>
          <w:sz w:val="18"/>
          <w:szCs w:val="18"/>
          <w:color w:val="auto"/>
        </w:rPr>
        <w:t>In accordance with Subtopic 820-10, investments that are measured at fair value using the NAV practical expedient are not classified in the fair value hierarchy.</w:t>
      </w:r>
    </w:p>
    <w:p>
      <w:pPr>
        <w:spacing w:after="0" w:line="203"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following tables summarizes changes in the fair value, along with other activity associated with the Company’s Level 3 financial assets and liabilities: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08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1420" w:type="dxa"/>
            <w:vAlign w:val="bottom"/>
            <w:gridSpan w:val="2"/>
          </w:tcPr>
          <w:p>
            <w:pPr>
              <w:jc w:val="center"/>
              <w:ind w:left="959"/>
              <w:spacing w:after="0" w:line="158" w:lineRule="exact"/>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5"/>
                <w:szCs w:val="15"/>
                <w:color w:val="auto"/>
              </w:rPr>
            </w:pPr>
          </w:p>
        </w:tc>
        <w:tc>
          <w:tcPr>
            <w:tcW w:w="740" w:type="dxa"/>
            <w:vAlign w:val="bottom"/>
            <w:gridSpan w:val="4"/>
          </w:tcPr>
          <w:p>
            <w:pPr>
              <w:jc w:val="right"/>
              <w:ind w:right="10"/>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Fair value of financial assets at the beginning of the year</w:t>
            </w:r>
          </w:p>
        </w:tc>
        <w:tc>
          <w:tcPr>
            <w:tcW w:w="110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$524</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Additions, net of contributions from shareholders of the Company</w:t>
            </w:r>
          </w:p>
        </w:tc>
        <w:tc>
          <w:tcPr>
            <w:tcW w:w="110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 (losses) recognized in the income statement</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Distributions to shareholders of the Company</w:t>
            </w:r>
          </w:p>
        </w:tc>
        <w:tc>
          <w:tcPr>
            <w:tcW w:w="11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the end of the year</w:t>
            </w:r>
          </w:p>
        </w:tc>
        <w:tc>
          <w:tcPr>
            <w:tcW w:w="1420" w:type="dxa"/>
            <w:vAlign w:val="bottom"/>
            <w:gridSpan w:val="2"/>
            <w:shd w:val="clear" w:color="auto" w:fill="CCEEFF"/>
          </w:tcPr>
          <w:p>
            <w:pPr>
              <w:jc w:val="center"/>
              <w:ind w:left="97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482</w:t>
            </w:r>
          </w:p>
        </w:tc>
        <w:tc>
          <w:tcPr>
            <w:tcW w:w="2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524</w:t>
            </w: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Convertible Loans Receivable</w:t>
            </w: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4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20" w:type="dxa"/>
            <w:vAlign w:val="bottom"/>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080" w:type="dxa"/>
            <w:vAlign w:val="bottom"/>
            <w:vMerge w:val="restart"/>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1420" w:type="dxa"/>
            <w:vAlign w:val="bottom"/>
            <w:gridSpan w:val="2"/>
          </w:tcPr>
          <w:p>
            <w:pPr>
              <w:jc w:val="center"/>
              <w:ind w:left="1039"/>
              <w:spacing w:after="0" w:line="158" w:lineRule="exact"/>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5"/>
                <w:szCs w:val="15"/>
                <w:color w:val="auto"/>
              </w:rPr>
            </w:pPr>
          </w:p>
        </w:tc>
        <w:tc>
          <w:tcPr>
            <w:tcW w:w="740" w:type="dxa"/>
            <w:vAlign w:val="bottom"/>
            <w:gridSpan w:val="4"/>
          </w:tcPr>
          <w:p>
            <w:pPr>
              <w:jc w:val="center"/>
              <w:ind w:left="299"/>
              <w:spacing w:after="0" w:line="158"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Fair value of financial assets at the beginning of the year</w:t>
            </w:r>
          </w:p>
        </w:tc>
        <w:tc>
          <w:tcPr>
            <w:tcW w:w="110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$ 29</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10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Converted into equity</w:t>
            </w:r>
          </w:p>
        </w:tc>
        <w:tc>
          <w:tcPr>
            <w:tcW w:w="11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Fair value gains recognized in the income statement</w:t>
            </w:r>
          </w:p>
        </w:tc>
        <w:tc>
          <w:tcPr>
            <w:tcW w:w="1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the end of the year</w:t>
            </w:r>
          </w:p>
        </w:tc>
        <w:tc>
          <w:tcPr>
            <w:tcW w:w="11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$ 31</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$ 29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See below for a description of the valuation techniques and inputs used in the fair value measurement of Level 3 investments including equity method investments, convertible loans receivable, and currency exchange contracts.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 xml:space="preserve">The Company elected the fair value option in accordance with the guidance in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(“ASC 825”) for its investments in Arm China,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(i) the market-calibration approach based on the guideline public company method and/or (ii) subject to availability of sufficient information, the income approach based on the discounted cash flow method and iii) the probability-weighted, expected return (“PWER”) approach.</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market-calibration approach considers valuation multiples that are calibrated to the valuation as of the prior valuation date (i.e., quarterly) based on:</w:t>
      </w:r>
    </w:p>
    <w:p>
      <w:pPr>
        <w:spacing w:after="0" w:line="46" w:lineRule="exact"/>
        <w:rPr>
          <w:sz w:val="20"/>
          <w:szCs w:val="20"/>
          <w:color w:val="auto"/>
        </w:rPr>
      </w:pPr>
    </w:p>
    <w:p>
      <w:pPr>
        <w:ind w:left="120" w:right="180" w:hanging="4"/>
        <w:spacing w:after="0" w:line="253" w:lineRule="auto"/>
        <w:tabs>
          <w:tab w:leader="none" w:pos="36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w:t>
      </w:r>
    </w:p>
    <w:p>
      <w:pPr>
        <w:spacing w:after="0" w:line="193"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Prior to March 31, 2022, the income approach was used to measure the fair value of Ampere. For the fiscal year ended March 31, 2023, the PWERM approach was used for the fair value measurement. 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spacing w:after="0" w:line="17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following table provides quantitative information related to certain key assumptions utilized in the valuation of equity method investments accounted for under the fair value option:</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As of March 31, 2023</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760" w:type="dxa"/>
            <w:vAlign w:val="bottom"/>
            <w:tcBorders>
              <w:top w:val="single" w:sz="8" w:color="auto"/>
            </w:tcBorders>
            <w:vMerge w:val="restart"/>
          </w:tcPr>
          <w:p>
            <w:pPr>
              <w:spacing w:after="0"/>
              <w:rPr>
                <w:sz w:val="10"/>
                <w:szCs w:val="10"/>
                <w:color w:val="auto"/>
              </w:rPr>
            </w:pPr>
          </w:p>
        </w:tc>
        <w:tc>
          <w:tcPr>
            <w:tcW w:w="106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220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Valuation</w:t>
            </w:r>
          </w:p>
        </w:tc>
        <w:tc>
          <w:tcPr>
            <w:tcW w:w="234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Range of Estimates</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Technique</w:t>
            </w:r>
          </w:p>
        </w:tc>
        <w:tc>
          <w:tcPr>
            <w:tcW w:w="2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Inputs</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Equity Method Investments</w:t>
            </w: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Acetone –</w:t>
            </w:r>
          </w:p>
        </w:tc>
        <w:tc>
          <w:tcPr>
            <w:tcW w:w="22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Market-Calibration or</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discounted cash flow</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LTM Revenue Multiple</w:t>
            </w:r>
          </w:p>
        </w:tc>
        <w:tc>
          <w:tcPr>
            <w:tcW w:w="1920" w:type="dxa"/>
            <w:vAlign w:val="bottom"/>
          </w:tcPr>
          <w:p>
            <w:pPr>
              <w:ind w:left="540"/>
              <w:spacing w:after="0"/>
              <w:rPr>
                <w:sz w:val="20"/>
                <w:szCs w:val="20"/>
                <w:color w:val="auto"/>
              </w:rPr>
            </w:pPr>
            <w:r>
              <w:rPr>
                <w:rFonts w:ascii="Arial" w:cs="Arial" w:eastAsia="Arial" w:hAnsi="Arial"/>
                <w:sz w:val="18"/>
                <w:szCs w:val="18"/>
                <w:color w:val="auto"/>
              </w:rPr>
              <w:t>2.1x – 2.3x</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Probability weighted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 100%, Time to</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Probability of success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future exit scenario</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IPO, time to future exit</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 1.3 years, discount</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Ampere- PWER</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scenario, discount rate</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rate – 18.61%</w:t>
            </w:r>
          </w:p>
        </w:tc>
        <w:tc>
          <w:tcPr>
            <w:tcW w:w="0" w:type="dxa"/>
            <w:vAlign w:val="bottom"/>
          </w:tcPr>
          <w:p>
            <w:pPr>
              <w:spacing w:after="0"/>
              <w:rPr>
                <w:sz w:val="1"/>
                <w:szCs w:val="1"/>
                <w:color w:val="auto"/>
              </w:rPr>
            </w:pPr>
          </w:p>
        </w:tc>
      </w:tr>
      <w:tr>
        <w:trPr>
          <w:trHeight w:val="378"/>
        </w:trPr>
        <w:tc>
          <w:tcPr>
            <w:tcW w:w="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As of March 31, 2022</w:t>
            </w:r>
          </w:p>
        </w:tc>
        <w:tc>
          <w:tcPr>
            <w:tcW w:w="2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760" w:type="dxa"/>
            <w:vAlign w:val="bottom"/>
            <w:vMerge w:val="restart"/>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22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Valuation</w:t>
            </w:r>
          </w:p>
        </w:tc>
        <w:tc>
          <w:tcPr>
            <w:tcW w:w="23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of Estimates</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Technique</w:t>
            </w:r>
          </w:p>
        </w:tc>
        <w:tc>
          <w:tcPr>
            <w:tcW w:w="2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Inputs</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Equity Method Investments</w:t>
            </w: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2.6x – 3.1x or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Market-Calibration or</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LTM Revenue Multiple</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probability weighted</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discounted cash flow</w:t>
            </w: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or projected cash flows</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cash flows</w:t>
            </w: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2"/>
          </w:tcPr>
          <w:p>
            <w:pPr>
              <w:ind w:left="880"/>
              <w:spacing w:after="0"/>
              <w:rPr>
                <w:sz w:val="20"/>
                <w:szCs w:val="20"/>
                <w:color w:val="auto"/>
              </w:rPr>
            </w:pPr>
            <w:r>
              <w:rPr>
                <w:rFonts w:ascii="Arial" w:cs="Arial" w:eastAsia="Arial" w:hAnsi="Arial"/>
                <w:sz w:val="18"/>
                <w:szCs w:val="18"/>
                <w:color w:val="auto"/>
              </w:rPr>
              <w:t>F-44</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Receivable—Ampere</w:t>
      </w:r>
    </w:p>
    <w:p>
      <w:pPr>
        <w:spacing w:after="0" w:line="117"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In December 2021, the Company acquired a $29.0 million convertible promissory note in Ampere, which is included in other non-current assets on the Consolidated Balance Sheets. As of March 31, 2023, the Company’s maximum exposure to loss are the amounts invested in, and advanced to, Ampere. As of March 31, 2023 and 2022, the Company has not converted any of its convertible promissory note into equity.</w:t>
      </w:r>
    </w:p>
    <w:p>
      <w:pPr>
        <w:spacing w:after="0" w:line="16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spacing w:after="0" w:line="12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spacing w:after="0" w:line="165"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March 31, 2023 and 2022, the Company has not recognized any credit losses related to this convertible loan.</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calculated using significant unobservable inputs did not differ materially from the amortized cost basis for the fiscal year ended March 31, 2023 and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Exchange Contracts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For currency exchange contracts, these contracts are valued at the present value of future cash flows based on forward exchange rates at the balance sheet date.</w:t>
      </w:r>
    </w:p>
    <w:p>
      <w:pPr>
        <w:spacing w:after="0" w:line="315"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Dividends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February 2021, a cash dividend of $750.0 million ($0.73 per ordinary share) was declared and paid to ordinary shareholders. No other dividends were declared or paid in the reporting periods presented in the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Shareholder Distributions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 xml:space="preserve">In June 2021, the Company distributed its ownership in Treasure Data to the immediate shareholders of the Company at a value of $44.2 million. 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information.</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 xml:space="preserve">In March 2022, the Company distributed its ownership in Arm China to the immediate shareholders of the Company, which represented a non-cash distribution of $975.7 million. See Note 10, </w:t>
      </w:r>
      <w:r>
        <w:rPr>
          <w:rFonts w:ascii="Arial" w:cs="Arial" w:eastAsia="Arial" w:hAnsi="Arial"/>
          <w:sz w:val="18"/>
          <w:szCs w:val="18"/>
          <w:i w:val="1"/>
          <w:iCs w:val="1"/>
          <w:color w:val="auto"/>
        </w:rPr>
        <w:t>Equity Investments</w:t>
      </w:r>
      <w:r>
        <w:rPr>
          <w:rFonts w:ascii="Arial" w:cs="Arial" w:eastAsia="Arial" w:hAnsi="Arial"/>
          <w:sz w:val="18"/>
          <w:szCs w:val="18"/>
          <w:color w:val="auto"/>
        </w:rPr>
        <w:t xml:space="preserve"> for further information.</w:t>
      </w:r>
    </w:p>
    <w:p>
      <w:pPr>
        <w:spacing w:after="0" w:line="315"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March 2022, the Company announced a restructuring plan to align its workforce with strategic business activities and to improve efficiencies in its operations. As a result of the restructuring plan, the Company</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recognized a liability of $25.8 million as of March 31, 2022. The liability of $25.8 million is included in other current liabilities on the Consolidated Balance Sheets, of which $17.4 million related to estimated one-time employee termination benefit costs and $8.4 million related to costs associated with existing benefit arrangements. For the fiscal years ended March 31, 2023 and 2022, the Company recognized restructuring expenses of $1.5 million and $25.8 million in restructuring and related costs on the Consolidated Income Statements in connection with these activities. Restructuring activities were completed and the outstanding restructuring liability settled in the fiscal year ended March 31, 2023.</w:t>
      </w:r>
    </w:p>
    <w:p>
      <w:pPr>
        <w:spacing w:after="0" w:line="321"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the following share-based payment arrangements during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Units—The Arm Limited All Employee Plan 2019 (“2019 AEP”)</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December 2019, an RSU plan was established for all employees of the Company. Vesting of these RSUs under the 2019 AEP requires the continuous service of the employees through the vesting date, is subject to the achievement of a market condition target, and vesting occurs on the earliest of the following: (1) the occurrence of one of various events comprising a change in control of the Company, (2) an initial public offering, or (3) the passage of time with the date being March 9, 2026. The market condition target is tied to the valuation of the Company upon vesting. The plan allows for either share or cash settlement of the RSUs at the discretion of the Company’s remuneration committee. Upon the occurrence of a change in control or an initial public offering, and at the discretion of the Company’s remuneration committee, each RSU converts into one ordinary share on the vesting date. Conversely, upon the passage of time, each RSU is settled in cash at the vesting date.</w:t>
      </w:r>
    </w:p>
    <w:p>
      <w:pPr>
        <w:spacing w:after="0" w:line="17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For all periods presented, a change in control or an initial public offering is generally not considered probable until it has occurred. Accordingly, the RSUs will only be settled in cash upon the passage of time and are accounted as liability-classified awards. The Company also maintains a subplan for employees of its subsidiary, Arm Technology Israel Ltd. (“Arm Israel”), in which RSUs will be settled in cash at the vesting date upon the occurrence of a change in control, initial public offering or the passage of time with a long-stop date of March 9, 2026.</w:t>
      </w:r>
    </w:p>
    <w:p>
      <w:pPr>
        <w:spacing w:after="0" w:line="17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Vesting requires continuous service until the passage of time and employees may elect not to participate in the plan. RSUs are settled in cash at the vesting date and neither carry rights to dividends nor voting rights. Awards are forfeited if an employee leaves the Company before the RSUs vest. For all periods presented, the aggregate nominal amount of shares over which the Company’s remuneration committee may grant awards under the 2019 AEP will be limited so that it does not exceed at any time an amount equal to 2.2 percent of the aggregate nominal amount of the Company’s fully diluted equity share capital. As of March 31, 2023, 2022 and 2021, 11,601,185, 13,507,360 and 14,817,424 RSUs were outstanding, respectively.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fiscal years ended March 31, 2023, 2022, and 2021, $56.0 million, 30.8 million and $37.5 million of share-based compensation cost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$11.6 million, $5.4 million and $3.2 million of tax benefit, respectively, was recognized. As of March 31, 2023 and 2022, $114.2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$74.0 million was recognized as a liability for the liability-classified RSUs under the 2019 AEP in the non-current portion of accrued compensation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share-based compensation on the Consolidated Balance Sheets, respectively. As of March 31, 2023, there was $156.5 million of total unrecognized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compensation cost related to awards issued under the 2019 AEP expected to be recognized over a weighted-average period of 2.94 years.</w:t>
      </w:r>
    </w:p>
    <w:p>
      <w:pPr>
        <w:spacing w:after="0" w:line="22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the period starting from May 2022 through June 2022, the Company’s remuneration committee modified the terms of the 2019 AEP to accelerate the vesting for approximately 435 employees affected by restructuring</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activities initiated in the year ended March 31, 2022. The affected participants of the plan were provided the option to i) settle all unvested RSUs for a cash payment equivalent to the product of (a) a fixed amount as determined by the Company’s remuneration committee (b) 50% of the number of RSUs held by the participant, or ii) retain the RSUs until they become vested pursuant to the original vesting terms. The Company accounted for this acceleration as a modification of vesting in connection with a settlement which resulted in the recognition of incremental share-based compensation cost. For the year ended March 31, 2023, the Company recognized incremental share-based compensation cost of $11.8 million related to the cash receipt option and $2.2 million related to the RSUs retention option.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AEP for all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Weighted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8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Average Fair</w:t>
            </w:r>
          </w:p>
        </w:tc>
        <w:tc>
          <w:tcPr>
            <w:tcW w:w="18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860" w:type="dxa"/>
            <w:vAlign w:val="bottom"/>
          </w:tcPr>
          <w:p>
            <w:pPr>
              <w:jc w:val="right"/>
              <w:ind w:right="172"/>
              <w:spacing w:after="0" w:line="158" w:lineRule="exact"/>
              <w:rPr>
                <w:sz w:val="20"/>
                <w:szCs w:val="20"/>
                <w:color w:val="auto"/>
              </w:rPr>
            </w:pPr>
            <w:r>
              <w:rPr>
                <w:rFonts w:ascii="Arial" w:cs="Arial" w:eastAsia="Arial" w:hAnsi="Arial"/>
                <w:sz w:val="14"/>
                <w:szCs w:val="14"/>
                <w:b w:val="1"/>
                <w:bCs w:val="1"/>
                <w:color w:val="auto"/>
              </w:rPr>
              <w:t>RSUs</w:t>
            </w:r>
          </w:p>
        </w:tc>
        <w:tc>
          <w:tcPr>
            <w:tcW w:w="1680" w:type="dxa"/>
            <w:vAlign w:val="bottom"/>
            <w:gridSpan w:val="3"/>
          </w:tcPr>
          <w:p>
            <w:pPr>
              <w:ind w:left="740"/>
              <w:spacing w:after="0" w:line="158" w:lineRule="exact"/>
              <w:rPr>
                <w:sz w:val="20"/>
                <w:szCs w:val="20"/>
                <w:color w:val="auto"/>
              </w:rPr>
            </w:pPr>
            <w:r>
              <w:rPr>
                <w:rFonts w:ascii="Arial" w:cs="Arial" w:eastAsia="Arial" w:hAnsi="Arial"/>
                <w:sz w:val="14"/>
                <w:szCs w:val="14"/>
                <w:b w:val="1"/>
                <w:bCs w:val="1"/>
                <w:color w:val="auto"/>
                <w:w w:val="94"/>
              </w:rPr>
              <w:t>Value Per RSU</w:t>
            </w:r>
          </w:p>
        </w:tc>
        <w:tc>
          <w:tcPr>
            <w:tcW w:w="1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14,187,295</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15.48</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1,473,851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843,722</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14,817,424</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567,315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1,877,379</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13,507,360</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198,081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426,685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1,677,572</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11,601,185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86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23.33</w:t>
            </w:r>
          </w:p>
        </w:tc>
        <w:tc>
          <w:tcPr>
            <w:tcW w:w="114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11,601,185</w:t>
            </w: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fiscal year ended March 31, 2023, liability-classified share-based awards paid totaled $15.9 million related to the RSUs that had vesting conditions accelerated pursuant to restructuring activities, of which $11.8 million of share-based compensation cost was recognized in the current year. The Company did not have any payments arising from normal course vesting events for liability-classified share-based awards for the years ended March 31, 2023, 2022 and 2021. The fair value of RSUs vested for the fiscal year ended March 31, 2023 was $16.2 million. As of March 31, 2022, none of the RSUs under the 2019 AEP had vested.</w:t>
      </w:r>
    </w:p>
    <w:p>
      <w:pPr>
        <w:spacing w:after="0" w:line="188"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For the fiscal year ended March 31, 2021, fair value of the RSUs was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a tenor equal to six months.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AEP for the fiscal year ended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Time to liquidity event (in years)</w:t>
            </w:r>
          </w:p>
        </w:tc>
        <w:tc>
          <w:tcPr>
            <w:tcW w:w="4440" w:type="dxa"/>
            <w:vAlign w:val="bottom"/>
          </w:tcPr>
          <w:p>
            <w:pPr>
              <w:jc w:val="right"/>
              <w:ind w:right="110"/>
              <w:spacing w:after="0"/>
              <w:rPr>
                <w:sz w:val="20"/>
                <w:szCs w:val="20"/>
                <w:color w:val="auto"/>
              </w:rPr>
            </w:pPr>
            <w:r>
              <w:rPr>
                <w:rFonts w:ascii="Arial" w:cs="Arial" w:eastAsia="Arial" w:hAnsi="Arial"/>
                <w:sz w:val="18"/>
                <w:szCs w:val="18"/>
                <w:color w:val="auto"/>
              </w:rPr>
              <w:t>0.5</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4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0.9998</w:t>
            </w:r>
          </w:p>
        </w:tc>
      </w:tr>
      <w:tr>
        <w:trPr>
          <w:trHeight w:val="364"/>
        </w:trPr>
        <w:tc>
          <w:tcPr>
            <w:tcW w:w="3040" w:type="dxa"/>
            <w:vAlign w:val="bottom"/>
          </w:tcPr>
          <w:p>
            <w:pPr>
              <w:spacing w:after="0"/>
              <w:rPr>
                <w:sz w:val="24"/>
                <w:szCs w:val="24"/>
                <w:color w:val="auto"/>
              </w:rPr>
            </w:pPr>
          </w:p>
        </w:tc>
        <w:tc>
          <w:tcPr>
            <w:tcW w:w="4440" w:type="dxa"/>
            <w:vAlign w:val="bottom"/>
          </w:tcPr>
          <w:p>
            <w:pPr>
              <w:jc w:val="right"/>
              <w:ind w:right="3370"/>
              <w:spacing w:after="0"/>
              <w:rPr>
                <w:sz w:val="20"/>
                <w:szCs w:val="20"/>
                <w:color w:val="auto"/>
              </w:rPr>
            </w:pPr>
            <w:r>
              <w:rPr>
                <w:rFonts w:ascii="Arial" w:cs="Arial" w:eastAsia="Arial" w:hAnsi="Arial"/>
                <w:sz w:val="18"/>
                <w:szCs w:val="18"/>
                <w:color w:val="auto"/>
              </w:rPr>
              <w:t>F-47</w:t>
            </w:r>
          </w:p>
        </w:tc>
      </w:tr>
    </w:tbl>
    <w:p>
      <w:pPr>
        <w:sectPr>
          <w:pgSz w:w="11900" w:h="16838" w:orient="portrait"/>
          <w:cols w:equalWidth="0" w:num="1">
            <w:col w:w="11100"/>
          </w:cols>
          <w:pgMar w:left="320" w:top="459" w:right="47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fiscal year ended March 31, 2023 and 2022,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the Company’s best estimate for the effects of non-transferability and exercise restrictions (including the probability of meeting market conditions attached to the RSUs).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AEP for the relevant periods: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2019 AEP RSUs</w:t>
            </w:r>
          </w:p>
        </w:tc>
        <w:tc>
          <w:tcPr>
            <w:tcW w:w="5180" w:type="dxa"/>
            <w:vAlign w:val="bottom"/>
            <w:vMerge w:val="restart"/>
          </w:tcPr>
          <w:p>
            <w:pPr>
              <w:spacing w:after="0"/>
              <w:rPr>
                <w:sz w:val="14"/>
                <w:szCs w:val="14"/>
                <w:color w:val="auto"/>
              </w:rPr>
            </w:pPr>
          </w:p>
        </w:tc>
        <w:tc>
          <w:tcPr>
            <w:tcW w:w="21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Years Ended March 31,</w:t>
            </w: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2023</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Average share price</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$ 41.51</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$ 39.27</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Expected volatility until liquidity event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to liquidity event (in years)</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Units—Executive IPO Plan (“2019 EIP”)</w:t>
      </w:r>
    </w:p>
    <w:p>
      <w:pPr>
        <w:spacing w:after="0" w:line="117"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In April 2020, a RSU plan was put in place for certain of our executive officers. The vesting of these RSUs under the 2019 EIP requires the continuous service of the employees through the vesting date, was originally subjected to the achievement of a market-condition target, and vesting occurs on the earliest of the following: (1) the occurrence of one of various events comprising a change in control of the Company, (2) an initial public offering, or</w:t>
      </w:r>
    </w:p>
    <w:p>
      <w:pPr>
        <w:spacing w:after="0" w:line="2" w:lineRule="exact"/>
        <w:rPr>
          <w:sz w:val="20"/>
          <w:szCs w:val="20"/>
          <w:color w:val="auto"/>
        </w:rPr>
      </w:pPr>
    </w:p>
    <w:p>
      <w:pPr>
        <w:ind w:left="120" w:hanging="4"/>
        <w:spacing w:after="0" w:line="260" w:lineRule="auto"/>
        <w:tabs>
          <w:tab w:leader="none" w:pos="37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passage of time with the date being March 9, 2026. At inception of the plan, the market condition target was tied to the valuation of the Company upon vesting. In September 2022, the Company modified the 2019 EIP to remove the market conditions.</w:t>
      </w:r>
    </w:p>
    <w:p>
      <w:pPr>
        <w:spacing w:after="0" w:line="18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2019 EIP allows for either share or cash settlement of the RSUs at the discretion of the Company’s remuneration committee. Upon the occurrence of a change in control or an initial public offering, and at the discretion of the Company’s remuneration committee, each RSU converts into one ordinary share on the vesting date. Conversely, upon the passage of time, each RSU is settled in cash at the vesting date. For all periods presented, a change in control or an initial public offering is generally not considered probable until it has occurred. Accordingly, the RSUs would only be settled in cash upon the passage of time and were accounted as liability-classified awards. Employees require continuous service until the passage of time and may elect not to participate in the 2019 EIP. RSUs are settled in cash at the vesting date and neither carry rights to dividends nor voting rights. Awards are forfeited if an employee leaves the Company before the RSUs vest. For all periods presented, the aggregate nominal amount of shares over which the Company’s remuneration committee may grant awards under the 2019 EIP will be limited so that it does not exceed at any time an amount equal to 0.3 percent of the aggregate nominal amount of the Company’s fully diluted equity share capital. As of March 31, 2023, 2022 and 2021, 192,999, 903,925 and 2,214,568 RSUs were outstanding, respectively.</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September 2022, the Company modified the 2019 EIP to remove the market conditions which were tied to the valuation of the Company upon the vesting of the RSUs. All other terms under the 2019 EIP remained unchanged as a result of this modification and the RSUs remained as liability-classified awards. The incremental share-based compensation cost was measured as the excess of the fair value of the modified RSUs over the fair value of the original RSUs immediately before their terms were modified at modification. As of the modification date, incremental share-based compensation cost recognized was $4.5 million.</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December 2022, the Company’s remuneration committee approved the cancellation of 355,463 outstanding RSUs issued to an executive participant under the 2019 EIP in exchange for a fixed monetary $20.0 million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special RSU award (“Special RSU Award”) issued under the 2022 Arm Limited RSU Award Plan. The incremental compensation cost of both the 2019 EIP and the Special RSU Award combined was measured by comparing the fair value of the award immediately before and after the modification. The Company accounted for this acceleration for the modification as a cumulative adjustment to the liability. As of the modification date, the net incremental compensation cost for the modified award was $4.1 million.</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 the fiscal year ended March 31, 2023, 2022 and 2021, $0.1 million, $(0.5) million and $4.1 million, of share-based compensation cost (credit) was recognized in connection with awards issued under the 2019 EIP. The share-based compensation cost decrease and credit for the fiscal years ended March 31, 2023 and 2022 were attributable to the replacement awards issued in December 2022 and executive departures, respectively. There were no tax impacts related to the 2019 EIP RSUs for the fiscal years ended March 31, 2022. For the fiscal year ended March 31, 2023 and 2021, the tax expense and benefit recorded was $0.4 million and $0.7 million, respectively. As of March 31, 2023 and 2022, $3.6 million and $3.5 million, was recognized in the non-current portion of accrued compensation and share-based compensation on the Consolidated Balance Sheets, respectively. As of March 31, 2023, there was $3.6 million of total unrecognized compensation cost related to liability-classified RSUs under the 2019 EIP expected to be recognized over a weighted-average period of 2.94 years.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EIP for the relevant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Weighted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7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Average Fair</w:t>
            </w:r>
          </w:p>
        </w:tc>
        <w:tc>
          <w:tcPr>
            <w:tcW w:w="18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5000" w:type="dxa"/>
            <w:vAlign w:val="bottom"/>
            <w:gridSpan w:val="3"/>
            <w:vMerge w:val="continue"/>
          </w:tcPr>
          <w:p>
            <w:pPr>
              <w:spacing w:after="0"/>
              <w:rPr>
                <w:sz w:val="13"/>
                <w:szCs w:val="13"/>
                <w:color w:val="auto"/>
              </w:rPr>
            </w:pPr>
          </w:p>
        </w:tc>
        <w:tc>
          <w:tcPr>
            <w:tcW w:w="78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rPr>
              <w:t>RSUs</w:t>
            </w:r>
          </w:p>
        </w:tc>
        <w:tc>
          <w:tcPr>
            <w:tcW w:w="1680" w:type="dxa"/>
            <w:vAlign w:val="bottom"/>
            <w:gridSpan w:val="3"/>
          </w:tcPr>
          <w:p>
            <w:pPr>
              <w:ind w:left="740"/>
              <w:spacing w:after="0" w:line="158" w:lineRule="exact"/>
              <w:rPr>
                <w:sz w:val="20"/>
                <w:szCs w:val="20"/>
                <w:color w:val="auto"/>
              </w:rPr>
            </w:pPr>
            <w:r>
              <w:rPr>
                <w:rFonts w:ascii="Arial" w:cs="Arial" w:eastAsia="Arial" w:hAnsi="Arial"/>
                <w:sz w:val="14"/>
                <w:szCs w:val="14"/>
                <w:b w:val="1"/>
                <w:bCs w:val="1"/>
                <w:color w:val="auto"/>
                <w:w w:val="94"/>
              </w:rPr>
              <w:t>Value Per RSU</w:t>
            </w:r>
          </w:p>
        </w:tc>
        <w:tc>
          <w:tcPr>
            <w:tcW w:w="1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78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2,592,286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377,718</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2,214,568</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1,310,643</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903,925</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710,926</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192,999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78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37.43</w:t>
            </w:r>
          </w:p>
        </w:tc>
        <w:tc>
          <w:tcPr>
            <w:tcW w:w="114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3"/>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192,999</w:t>
            </w: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did not have any payments for the liability-classified share-based awards for all periods presented. As of March 31, 2023, 2022 and 2021, none of the RSUs under the 2019 EIP have vested.</w:t>
      </w:r>
    </w:p>
    <w:p>
      <w:pPr>
        <w:spacing w:after="0" w:line="17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For the fiscal year ended March 31, 2021, fair value of the RSUs was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tenor equal to six months.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44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Confidential Treatment Requested by Arm Holdings Limited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4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Pursuant to 17 C.F.R. Section 200.83</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40" w:type="dxa"/>
            <w:vAlign w:val="bottom"/>
          </w:tcPr>
          <w:p>
            <w:pPr>
              <w:jc w:val="center"/>
              <w:ind w:left="970"/>
              <w:spacing w:after="0"/>
              <w:rPr>
                <w:sz w:val="20"/>
                <w:szCs w:val="20"/>
                <w:color w:val="auto"/>
              </w:rPr>
            </w:pPr>
            <w:r>
              <w:rPr>
                <w:rFonts w:ascii="Arial" w:cs="Arial" w:eastAsia="Arial" w:hAnsi="Arial"/>
                <w:sz w:val="18"/>
                <w:szCs w:val="18"/>
                <w:b w:val="1"/>
                <w:bCs w:val="1"/>
                <w:color w:val="auto"/>
                <w:w w:val="97"/>
              </w:rPr>
              <w:t>Arm Limited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40" w:type="dxa"/>
            <w:vAlign w:val="bottom"/>
          </w:tcPr>
          <w:p>
            <w:pPr>
              <w:jc w:val="center"/>
              <w:ind w:left="97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320" w:type="dxa"/>
            <w:vAlign w:val="bottom"/>
            <w:gridSpan w:val="3"/>
          </w:tcPr>
          <w:p>
            <w:pPr>
              <w:ind w:left="120"/>
              <w:spacing w:after="0"/>
              <w:rPr>
                <w:sz w:val="20"/>
                <w:szCs w:val="20"/>
                <w:color w:val="auto"/>
              </w:rPr>
            </w:pPr>
            <w:r>
              <w:rPr>
                <w:rFonts w:ascii="Arial" w:cs="Arial" w:eastAsia="Arial" w:hAnsi="Arial"/>
                <w:sz w:val="18"/>
                <w:szCs w:val="18"/>
                <w:color w:val="auto"/>
                <w:w w:val="94"/>
              </w:rPr>
              <w:t>The following table presents the assumptions used for the RSUs under the 2019 EIP for the fiscal year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ind w:left="120"/>
              <w:spacing w:after="0"/>
              <w:rPr>
                <w:sz w:val="20"/>
                <w:szCs w:val="20"/>
                <w:color w:val="auto"/>
              </w:rPr>
            </w:pPr>
            <w:r>
              <w:rPr>
                <w:rFonts w:ascii="Arial" w:cs="Arial" w:eastAsia="Arial" w:hAnsi="Arial"/>
                <w:sz w:val="18"/>
                <w:szCs w:val="18"/>
                <w:color w:val="auto"/>
              </w:rPr>
              <w:t>March 31, 2021: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Time to transaction (in years)</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0.9998</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300"/>
        <w:spacing w:after="0" w:line="259" w:lineRule="auto"/>
        <w:rPr>
          <w:sz w:val="20"/>
          <w:szCs w:val="20"/>
          <w:color w:val="auto"/>
        </w:rPr>
      </w:pPr>
      <w:r>
        <w:rPr>
          <w:rFonts w:ascii="Arial" w:cs="Arial" w:eastAsia="Arial" w:hAnsi="Arial"/>
          <w:sz w:val="18"/>
          <w:szCs w:val="18"/>
          <w:color w:val="auto"/>
        </w:rPr>
        <w:t>For the fiscal year ended March 31, 2022,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Company’s best estimate for the effects of non-transferability and exercise restrictions (including the probability of meeting market conditions attached to the RSUs).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EIP for the fiscal year ended March 31, 2022:</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$39.27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Expected volatility until liquidity event</w:t>
            </w:r>
          </w:p>
        </w:tc>
        <w:tc>
          <w:tcPr>
            <w:tcW w:w="2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event</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Dividend yield</w:t>
            </w:r>
          </w:p>
        </w:tc>
        <w:tc>
          <w:tcPr>
            <w:tcW w:w="26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bl>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inputs used for both the discounted cash flow approach and the Monte Carlo simulation model are the same as those used for the 2019 AEP for years ended March 31, 2021 and 2022, respectively. The fair value of the RSUs is adjusted for the different market conditions for each share-based plan for years ended March 31, 2021 and 2022.</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For the fiscal year ended March 31, 2023, the Company used the income approach and market-calibration approach based on comparable publicly traded companies in similar lines of businesses. Cash flow assumptions used in income approach considers historical and forecasted revenue, earnings before interest, taxes, depreciation and amortization (EBITDA) and other relevant factors.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EIP for the fiscal year ended March 31, 2023: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EIP RSUs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Average share price</w:t>
            </w:r>
          </w:p>
        </w:tc>
        <w:tc>
          <w:tcPr>
            <w:tcW w:w="2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Transaction costs</w:t>
            </w:r>
          </w:p>
        </w:tc>
        <w:tc>
          <w:tcPr>
            <w:tcW w:w="28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event (in years)</w:t>
            </w:r>
          </w:p>
        </w:tc>
        <w:tc>
          <w:tcPr>
            <w:tcW w:w="2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Phantom Share Scheme (Cash-Settled)</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April 2017, a cash-settled share-based payment plan was put in place for certain of our executive officers. Under this plan, the employees are granted a cash award annually on April 1, which vests over a three-year service period subject to continuous service and satisfaction of certain Company performance conditions. The cash amount which the employee is entitled to receive if employed at the end of the three-year period is directly</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40"/>
          </w:cols>
          <w:pgMar w:left="320" w:top="446" w:right="5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linked to the share price of the Company’s ultimate parent, SoftBank. The number of Phantom Shares that vest is also linked to certain Company strategic performance conditions. The strategic performance conditions are non-market based vesting conditions and, as a result, the conditions do not affect the fair value of Phantom Shares at each reporting date.</w:t>
      </w:r>
    </w:p>
    <w:p>
      <w:pPr>
        <w:spacing w:after="0" w:line="18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strategic performance conditions are operational in nature and measure performance in areas such as product development, customer design wins and market share across different technologies and markets. The conditions are linked directly to the Company’s strategic objectives, rather than any financial or other measures.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March 31, 2023, there were no Phantom Shares outstanding. As of March 31, 2022 and 2021, 64,862 and 224,268 Phantom Shares were outstanding, respectively. The Company recognized a (credit) for share-based compensation cost of $(0.5) million and $(3.1) million in connection with the Phantom Shares for the fiscal years ended March 31, 2023, and 2022, respectively. The share-based compensation credit for the fiscal year ended March 31, 2023 and 2022 was attributable to executive departures. For the fiscal year ended March 31, 2021, the Company recognized share-based compensation cost of $11.1 million. The tax expense recorded for the Phantom Shares was $0.5 million and tax benefit was $2.3 million for the fiscal years ended March 31, 2022 and 2021, respectively. There was no tax expense or benefit recorded for the year ended March 31, 2023.</w:t>
      </w:r>
    </w:p>
    <w:p>
      <w:pPr>
        <w:spacing w:after="0" w:line="16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As of March 31, 2023, the total outstanding liability of $1.1 million was recognized in accrued compensation and benefits on the Consolidated Balance Sheets. As of March 31, 2022, the Company recognized a liability of $3.0 million in accrued compensation and benefits and non-current portion of accrued compensation and share-based compensation on the Consolidated Balance Sheets, respectively. As of March 31, 2023, there was no unrecognized compensation cost as all of the outstanding Phantom Shares have vested.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Phantom Shares activity for all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7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1"/>
              </w:rPr>
              <w:t>Average Fair</w:t>
            </w:r>
          </w:p>
        </w:tc>
        <w:tc>
          <w:tcPr>
            <w:tcW w:w="1860" w:type="dxa"/>
            <w:vAlign w:val="bottom"/>
            <w:gridSpan w:val="4"/>
            <w:vMerge w:val="restart"/>
          </w:tcPr>
          <w:p>
            <w:pPr>
              <w:ind w:left="80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jc w:val="right"/>
              <w:ind w:right="32"/>
              <w:spacing w:after="0" w:line="158" w:lineRule="exact"/>
              <w:rPr>
                <w:sz w:val="20"/>
                <w:szCs w:val="20"/>
                <w:color w:val="auto"/>
              </w:rPr>
            </w:pPr>
            <w:r>
              <w:rPr>
                <w:rFonts w:ascii="Arial" w:cs="Arial" w:eastAsia="Arial" w:hAnsi="Arial"/>
                <w:sz w:val="14"/>
                <w:szCs w:val="14"/>
                <w:b w:val="1"/>
                <w:bCs w:val="1"/>
                <w:color w:val="auto"/>
              </w:rPr>
              <w:t>Shares</w:t>
            </w:r>
          </w:p>
        </w:tc>
        <w:tc>
          <w:tcPr>
            <w:tcW w:w="1800" w:type="dxa"/>
            <w:vAlign w:val="bottom"/>
            <w:gridSpan w:val="3"/>
          </w:tcPr>
          <w:p>
            <w:pPr>
              <w:ind w:left="800"/>
              <w:spacing w:after="0" w:line="158" w:lineRule="exact"/>
              <w:rPr>
                <w:sz w:val="20"/>
                <w:szCs w:val="20"/>
                <w:color w:val="auto"/>
              </w:rPr>
            </w:pPr>
            <w:r>
              <w:rPr>
                <w:rFonts w:ascii="Arial" w:cs="Arial" w:eastAsia="Arial" w:hAnsi="Arial"/>
                <w:sz w:val="14"/>
                <w:szCs w:val="14"/>
                <w:b w:val="1"/>
                <w:bCs w:val="1"/>
                <w:color w:val="auto"/>
                <w:w w:val="91"/>
              </w:rPr>
              <w:t>Value Per Share</w:t>
            </w:r>
          </w:p>
        </w:tc>
        <w:tc>
          <w:tcPr>
            <w:tcW w:w="18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211,075</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19.59</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134,076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84,618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224,268</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17,844</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145,052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64,862</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37,359</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Phantom Shares are required to be settled in cash and therefore are recorded on the Consolidated Balance Sheets as a liability until settled. For the fiscal years ended March 31, 2023, 2022 and 2021, liability-classified share-based awards paid totaled $1.5 million, $7.1 million and $2.6 million, respectively. For the fiscal years ended March 31, 2023, 2022 and 2021, the total number of Phantom Shares vested were 27,503, 32,198 and</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9" w:right="51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84,618, respectively. The fair value of the Phantom Shares vested were $1.1 million, $1.5 million and $7.1 million for fiscal years ended March 31, 2023, 2022 and 2021, respectively. As of March 31, 2023, the total amount vested but unpaid was $1.1 million. The fair value of Phantom Shares measured at each reporting date was $38.84, $39.83 and $58.41 for the fiscal years ended March 31, 2023, 2022 and 2021, respectively.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Units—2022 Arm Limited RSU Award Plan ( “2022 RSU Plan”)</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June 2022, the 2022 RSU Plan was established to grant RSUs to all employees of the Company (“All Employee Awards”). Employees may elect not to participate in the plan. The RSUs vest in tranches, require continuous service through the vesting date and are subject to graded vesting over time. The 2022 RSU Plan provides vesting schedules applicable prior to and after an initial public offering. For all periods, an initial public offering is generally not considered probable until it has occurred. Accordingly, the RSUs are currently probable of vesting based on the vesting schedule applicable prior to an initial public offering over a three-year period and will vest by tranche through March 2025.</w:t>
      </w:r>
    </w:p>
    <w:p>
      <w:pPr>
        <w:spacing w:after="0" w:line="17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2022 RSU Plan allows for either cash or share settlement of the RSUs by tranche at the discretion of the Company’s remuneration committee. At the time of issuance, the Company intended to settle the RSUs in shares at the vesting date and such RSUs are accounted for as equity-classified awards. The Company recognizes share based compensation cost using the straight-line method over the service period of the award except for performance grants with specific performance criteria, net of estimated forfeitures. These RSUs neither carry rights to dividends nor voting rights until the shares are issued or transferred to the recipient. Awards are forfeited if an employee leaves the Company before the RSUs vest. For all periods presented, the aggregate nominal amount of shares over which the Company’s remuneration committee may grant awards under the 2022 RSU Plan will be limited so that it does not exceed at any time an amount equal to 4.0 percent of the aggregate nominal amount of the Company’s fully diluted equity share capital.</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Company granted additional awards under the 2022 RSU Plan to new hires, starting in September 2022 (“New Starter Awards”). The New Starter Awards share substantially the same terms as the existing RSUs for All Employee Awards with changes limited to the vesting schedules. The New Starter Awards require continuous service through each vesting date.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also granted additional RSUs to all employees and new hires of its subsidiary, Arm Israel, starting in February 2023 (the “Israel Awards”). The Israel Awards share substantially have the same terms as the existing RSUs for All Employee Awards and New Starter Awards with changes limited to the vesting schedules. The Israel Awards require continuous service through the vesting date.</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 xml:space="preserve">In November 2022, the Company determined that it would settle the first tranche of the RSUs outstanding that vest in March and May 2023 by paying cash instead of issuing equity. Other than the change in intent regarding form of settlement, no other terms or conditions regarding the RSUs were changed. The Company accounted for this change as a modification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reclassified the affected portion of the award from equity to liability and will remeasure the award at fair value at each reporting period through the date of settlement with consideration that total compensation cost cannot be less than the grant-date fair-value-based measure of the original award. As a result of the modification, the Company recognized $2.1 million of incremental share-based compensation cost at the time of the modification and recorded $31.7 million as a reclassification from equity to liability upon modification. 5,539 of employees were affected by this modification.</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2022 RSU Plan for all periods presented: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except per RSU amounts)</w:t>
            </w:r>
          </w:p>
        </w:tc>
        <w:tc>
          <w:tcPr>
            <w:tcW w:w="318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8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RSUs</w:t>
            </w:r>
          </w:p>
        </w:tc>
        <w:tc>
          <w:tcPr>
            <w:tcW w:w="800" w:type="dxa"/>
            <w:vAlign w:val="bottom"/>
          </w:tcPr>
          <w:p>
            <w:pPr>
              <w:spacing w:after="0"/>
              <w:rPr>
                <w:sz w:val="15"/>
                <w:szCs w:val="15"/>
                <w:color w:val="auto"/>
              </w:rPr>
            </w:pPr>
          </w:p>
        </w:tc>
        <w:tc>
          <w:tcPr>
            <w:tcW w:w="11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2022</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18,011,664</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5,500,361</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23"/>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1,381,569</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11,129,734</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11,129,734</w:t>
            </w:r>
          </w:p>
        </w:tc>
        <w:tc>
          <w:tcPr>
            <w:tcW w:w="2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number of RSUs reclassified from equity to liability was 5,226,149 which had a weighted average grant date fair value per RSU of $33.10.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2023, the total outstanding shares related to liability-classified and expected to vest awards was 284,036 with the weighted average fair value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 RSU of $40.47. For the fiscal year ended March 31, 2023, $234.8 million and $1.9 million of share-based compensation cost was recognized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the liability-classified and equity-classified awards issued under the 2022 RSU Plan, respectively. The tax benefit recorded for the fiscal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year ended March 31, 2023 was $30.4 million. As of March 31, 2023, $234.8 million, was recognized as current liability in accrued compensation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benefits on the Consolidated Balance Sheets. As of March 31, 2023, the total amount vested related to liability-classified awards but unpaid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$228.3 million. No equity-classified RSUs vested under the 2022 RSU Plan during the fiscal year ended March 31, 2023. As of March 31, 2023, there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$392.7 million of total unrecognized compensation cost expected to be recognized over a weighted-average period of 2.0 years.</w:t>
      </w:r>
    </w:p>
    <w:p>
      <w:pPr>
        <w:spacing w:after="0" w:line="211" w:lineRule="exact"/>
        <w:rPr>
          <w:sz w:val="20"/>
          <w:szCs w:val="20"/>
          <w:color w:val="auto"/>
        </w:rPr>
      </w:pPr>
    </w:p>
    <w:p>
      <w:pPr>
        <w:ind w:left="120" w:right="460"/>
        <w:spacing w:after="0" w:line="286" w:lineRule="auto"/>
        <w:rPr>
          <w:sz w:val="20"/>
          <w:szCs w:val="20"/>
          <w:color w:val="auto"/>
        </w:rPr>
      </w:pPr>
      <w:r>
        <w:rPr>
          <w:rFonts w:ascii="Arial" w:cs="Arial" w:eastAsia="Arial" w:hAnsi="Arial"/>
          <w:sz w:val="17"/>
          <w:szCs w:val="17"/>
          <w:color w:val="auto"/>
        </w:rPr>
        <w:t>For the fiscal year ended March 31, 2023, the Company used the income approach and market-calibration approach based on comparable publicly traded companies in similar lines of businesses. Cash flow assumptions used in the income approach considers historical and forecasted revenue, earnings before interest, taxes, depreciation and amortization (EBITDA) and other relevant factors.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2022 RSU Plan for the fiscal year ended March 31, 2023: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RSU Plan</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share price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$39.67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Transaction costs</w:t>
            </w:r>
          </w:p>
        </w:tc>
        <w:tc>
          <w:tcPr>
            <w:tcW w:w="3140" w:type="dxa"/>
            <w:vAlign w:val="bottom"/>
            <w:gridSpan w:val="2"/>
          </w:tcPr>
          <w:p>
            <w:pPr>
              <w:jc w:val="right"/>
              <w:ind w:right="350"/>
              <w:spacing w:after="0"/>
              <w:rPr>
                <w:sz w:val="20"/>
                <w:szCs w:val="20"/>
                <w:color w:val="auto"/>
              </w:rPr>
            </w:pPr>
            <w:r>
              <w:rPr>
                <w:rFonts w:ascii="Arial" w:cs="Arial" w:eastAsia="Arial" w:hAnsi="Arial"/>
                <w:sz w:val="18"/>
                <w:szCs w:val="18"/>
                <w:color w:val="auto"/>
              </w:rPr>
              <w:t>2.50%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per RSU</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$39.67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Time to liquidity event (in years)</w:t>
            </w:r>
          </w:p>
        </w:tc>
        <w:tc>
          <w:tcPr>
            <w:tcW w:w="2400" w:type="dxa"/>
            <w:vAlign w:val="bottom"/>
          </w:tcPr>
          <w:p>
            <w:pPr>
              <w:jc w:val="right"/>
              <w:spacing w:after="0"/>
              <w:rPr>
                <w:sz w:val="20"/>
                <w:szCs w:val="20"/>
                <w:color w:val="auto"/>
              </w:rPr>
            </w:pPr>
            <w:r>
              <w:rPr>
                <w:rFonts w:ascii="Arial" w:cs="Arial" w:eastAsia="Arial" w:hAnsi="Arial"/>
                <w:sz w:val="18"/>
                <w:szCs w:val="18"/>
                <w:color w:val="auto"/>
              </w:rPr>
              <w:t>0.5</w:t>
            </w:r>
          </w:p>
        </w:tc>
        <w:tc>
          <w:tcPr>
            <w:tcW w:w="740" w:type="dxa"/>
            <w:vAlign w:val="bottom"/>
          </w:tcPr>
          <w:p>
            <w:pPr>
              <w:ind w:left="20"/>
              <w:spacing w:after="0"/>
              <w:rPr>
                <w:sz w:val="20"/>
                <w:szCs w:val="20"/>
                <w:color w:val="auto"/>
              </w:rPr>
            </w:pPr>
            <w:r>
              <w:rPr>
                <w:rFonts w:ascii="Arial" w:cs="Arial" w:eastAsia="Arial" w:hAnsi="Arial"/>
                <w:sz w:val="18"/>
                <w:szCs w:val="18"/>
                <w:color w:val="auto"/>
              </w:rPr>
              <w:t>– 0.9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Discount for lack of marketability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Awards Granted under the 2022 RSU Plan—Executive Awards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November 2022, the Company issued two types of executive awards (the “Annual Awards” and “Launch Awards”) under the 2022 RSU Plan to certain of our executive officers (collectively, the “Executive Awards”). These Executive Awards under the 2022 RSU Plan have total award values based on fixed monetary amounts known at inception and do not carry rights to dividends nor voting rights. The Executive Awards entitle participants to a fixed amount of cash or, upon the occurrence of a change in control or an initial public offering, ordinary shares of the Company at the discretion of the Company’s remuneration committee.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Launch Awards vest in tranches and require continuous service through the vesting dates and are subject to graded vesting over a period of three years. The Company also granted Launch Awards with customized vesting schedules to certain members of the Executive Committee with a potential fixed monetary amount of $55.0 million at the grant date. These customized awards vest upon (1) the occurrence of one of various events comprising a change in control of the Company, (2) an initial public offering, and (3) March 9, 2026.</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Annual Awards include a portion that vests over a three-year continuous service period and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original fixed monetary amount of the award depending on the achievement of annual performance metrics.</w:t>
      </w:r>
    </w:p>
    <w:p>
      <w:pPr>
        <w:spacing w:after="0" w:line="188"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Upon an initial public offering, and at the discretion of the Company’s remuneration committee, each Executive Award could be converted into a variable number of shares based on the closing share price of the Company at the initial public offering date. As of March 31, 2023, awards are expected to settle in cash at the vesting date. Awards are forfeited if an employee leaves the Company before the awards vest.</w:t>
      </w:r>
    </w:p>
    <w:p>
      <w:pPr>
        <w:spacing w:after="0" w:line="165"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For the fiscal year ended March 31, 2023, $32.2 million in share-based compensation cost and $6.2 million of tax benefit, was recognized in connection with the Executive Awards granted under the 2022 RSU Plan. As of March 31, 2023, $32.2 million was recognized as a liability comprising</w:t>
      </w:r>
    </w:p>
    <w:p>
      <w:pPr>
        <w:ind w:left="120" w:right="40"/>
        <w:spacing w:after="0" w:line="277" w:lineRule="auto"/>
        <w:rPr>
          <w:sz w:val="20"/>
          <w:szCs w:val="20"/>
          <w:color w:val="auto"/>
        </w:rPr>
      </w:pPr>
      <w:r>
        <w:rPr>
          <w:rFonts w:ascii="Arial" w:cs="Arial" w:eastAsia="Arial" w:hAnsi="Arial"/>
          <w:sz w:val="17"/>
          <w:szCs w:val="17"/>
          <w:color w:val="auto"/>
        </w:rPr>
        <w:t>$18.4 million and $13.8 million in the current portion and non-current liability, respectively for the liability-classified Executive Awards granted under the 2022 RSU Plan on the Consolidated Balance Sheets. As of March 31, 2023, there was $62.8 million of total unrecognized compensation cost related to liability-classified Executive Awards expected to be recognized over a weighted-average period of 2.6 years</w:t>
      </w:r>
    </w:p>
    <w:p>
      <w:pPr>
        <w:spacing w:after="0" w:line="173"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 did not have any payments arising from normal course vesting events for liability-classified awards for the fiscal year ended March 31, 2023. As of March 31, 2023, none of the Executive Awards granted under the 2022 RSU Plan have vested. The table below shows the Company’s commitment for potential payments and the liability recognized as of March 31, 2023:</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0"/>
              </w:rPr>
              <w:t>Potential Fixed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Executive Award (in millions)</w:t>
            </w: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right"/>
              <w:ind w:right="1300"/>
              <w:spacing w:after="0" w:line="149" w:lineRule="exact"/>
              <w:rPr>
                <w:sz w:val="20"/>
                <w:szCs w:val="20"/>
                <w:color w:val="auto"/>
              </w:rPr>
            </w:pPr>
            <w:r>
              <w:rPr>
                <w:rFonts w:ascii="Arial" w:cs="Arial" w:eastAsia="Arial" w:hAnsi="Arial"/>
                <w:sz w:val="14"/>
                <w:szCs w:val="14"/>
                <w:b w:val="1"/>
                <w:bCs w:val="1"/>
                <w:color w:val="auto"/>
                <w:w w:val="99"/>
              </w:rPr>
              <w:t>Monetary</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Accrued Liability</w:t>
            </w:r>
            <w:r>
              <w:rPr>
                <w:rFonts w:ascii="Arial" w:cs="Arial" w:eastAsia="Arial" w:hAnsi="Arial"/>
                <w:sz w:val="10"/>
                <w:szCs w:val="10"/>
                <w:b w:val="1"/>
                <w:bCs w:val="1"/>
                <w:color w:val="auto"/>
                <w:w w:val="99"/>
              </w:rPr>
              <w:t>(1)</w:t>
            </w: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tcBorders>
            <w:vMerge w:val="continue"/>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right"/>
              <w:ind w:right="1340"/>
              <w:spacing w:after="0" w:line="158" w:lineRule="exact"/>
              <w:rPr>
                <w:sz w:val="20"/>
                <w:szCs w:val="20"/>
                <w:color w:val="auto"/>
              </w:rPr>
            </w:pPr>
            <w:r>
              <w:rPr>
                <w:rFonts w:ascii="Arial" w:cs="Arial" w:eastAsia="Arial" w:hAnsi="Arial"/>
                <w:sz w:val="14"/>
                <w:szCs w:val="14"/>
                <w:b w:val="1"/>
                <w:bCs w:val="1"/>
                <w:color w:val="auto"/>
              </w:rPr>
              <w:t>Amount</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Launch Awards</w:t>
            </w:r>
          </w:p>
        </w:tc>
        <w:tc>
          <w:tcPr>
            <w:tcW w:w="2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w:t>
            </w:r>
          </w:p>
        </w:tc>
        <w:tc>
          <w:tcPr>
            <w:tcW w:w="1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Annual Awards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1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Includes the amount recorded for performance-based awards that probable of achievement.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Non-Executive Directors RSU Award Plan (“NED Plan”)</w:t>
      </w:r>
    </w:p>
    <w:p>
      <w:pPr>
        <w:spacing w:after="0" w:line="117"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In September 2022, the Company established the NED Plan for non-executive directors. The RSU awards issued under the NED Plan (the “NED Awards”) are subject to time-based vesting and continued service of the non-executive directors. The NED Plan allows for either cash or share settlement of the awards at the discretion of the Company’s remuneration committee. As of March 31, 2023, the Company accounted for the NED Awards as liability-classified awards.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number of RSUs granted and outstanding for the fiscal year ended March 31, 2023 was 13,340. All RSUs have vested and unpaid as of fiscal year March 31, 2023, and are expected to be settled in cash. For the year</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ended and as of March 31, 2023, the share-based compensation cost and liability recognized was immaterial to the Company’s Consolidated Income Statement and Consolidated Balance Sheets,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Cost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share-based compensation cost recognized on the Consolidated Income Statements was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3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Fiscal Years Ended March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5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2023</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2022</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share-based compensation cost was capitalized during the fiscal years ended March 31, 2023, 2022 and 2021.</w:t>
      </w:r>
    </w:p>
    <w:p>
      <w:pPr>
        <w:spacing w:after="0" w:line="370"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before provision for income taxes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80" w:type="dxa"/>
            <w:vAlign w:val="bottom"/>
            <w:vMerge w:val="restart"/>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Fiscal Years Ended March 31,</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540" w:type="dxa"/>
            <w:vAlign w:val="bottom"/>
            <w:gridSpan w:val="3"/>
          </w:tcPr>
          <w:p>
            <w:pPr>
              <w:jc w:val="right"/>
              <w:ind w:right="34"/>
              <w:spacing w:after="0" w:line="129"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427</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608</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Income from continuing operations before income taxes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The expense (benefit) for income taxes consists of the following:</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80" w:type="dxa"/>
            <w:vAlign w:val="bottom"/>
            <w:vMerge w:val="restart"/>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Fiscal Years Ended March 31,</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2023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4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1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 current tax expense</w:t>
            </w:r>
          </w:p>
        </w:tc>
        <w:tc>
          <w:tcPr>
            <w:tcW w:w="200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1"/>
              <w:spacing w:after="0"/>
              <w:rPr>
                <w:sz w:val="20"/>
                <w:szCs w:val="20"/>
                <w:color w:val="auto"/>
              </w:rPr>
            </w:pPr>
            <w:r>
              <w:rPr>
                <w:rFonts w:ascii="Arial" w:cs="Arial" w:eastAsia="Arial" w:hAnsi="Arial"/>
                <w:sz w:val="18"/>
                <w:szCs w:val="18"/>
                <w:color w:val="auto"/>
              </w:rPr>
              <w:t>(25)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ind w:left="880"/>
              <w:spacing w:after="0"/>
              <w:rPr>
                <w:sz w:val="20"/>
                <w:szCs w:val="20"/>
                <w:color w:val="auto"/>
              </w:rPr>
            </w:pPr>
            <w:r>
              <w:rPr>
                <w:rFonts w:ascii="Arial" w:cs="Arial" w:eastAsia="Arial" w:hAnsi="Arial"/>
                <w:sz w:val="18"/>
                <w:szCs w:val="18"/>
                <w:color w:val="auto"/>
              </w:rPr>
              <w:t>Total deferred tax benefit</w:t>
            </w:r>
          </w:p>
        </w:tc>
        <w:tc>
          <w:tcPr>
            <w:tcW w:w="200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w:t>
            </w:r>
          </w:p>
        </w:tc>
        <w:tc>
          <w:tcPr>
            <w:tcW w:w="300" w:type="dxa"/>
            <w:vAlign w:val="bottom"/>
          </w:tcPr>
          <w:p>
            <w:pPr>
              <w:jc w:val="right"/>
              <w:ind w:right="221"/>
              <w:spacing w:after="0"/>
              <w:rPr>
                <w:sz w:val="20"/>
                <w:szCs w:val="20"/>
                <w:color w:val="auto"/>
              </w:rPr>
            </w:pPr>
            <w:r>
              <w:rPr>
                <w:rFonts w:ascii="Arial" w:cs="Arial" w:eastAsia="Arial" w:hAnsi="Arial"/>
                <w:sz w:val="8"/>
                <w:szCs w:val="8"/>
                <w:color w:val="auto"/>
                <w:w w:val="73"/>
              </w:rPr>
              <w:t>)</w:t>
            </w:r>
          </w:p>
        </w:tc>
        <w:tc>
          <w:tcPr>
            <w:tcW w:w="26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80" w:type="dxa"/>
            <w:vAlign w:val="bottom"/>
            <w:gridSpan w:val="3"/>
          </w:tcPr>
          <w:p>
            <w:pPr>
              <w:jc w:val="right"/>
              <w:ind w:right="1527"/>
              <w:spacing w:after="0"/>
              <w:rPr>
                <w:sz w:val="20"/>
                <w:szCs w:val="20"/>
                <w:color w:val="auto"/>
              </w:rPr>
            </w:pPr>
            <w:r>
              <w:rPr>
                <w:rFonts w:ascii="Arial" w:cs="Arial" w:eastAsia="Arial" w:hAnsi="Arial"/>
                <w:sz w:val="18"/>
                <w:szCs w:val="18"/>
                <w:color w:val="auto"/>
              </w:rPr>
              <w:t>F-55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9" w:right="77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United Kingdom statutory income tax rate to the effective tax rate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Fiscal Years Ended March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72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w w:val="89"/>
              </w:rPr>
              <w:t>2022</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Income tax expense (benefit) at statutory rate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Foreign tax rate differential</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Change in valuation allowances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Non-deductible/non-taxable items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Patent box benefit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UK rate change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Withholding tax</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exempt from UK tax</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Income tax expense (benefit)</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expense reported in the statement of profit and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w w:val="98"/>
              </w:rPr>
              <w:t>Income tax expense/(credit) attributable to discontinued operations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reconciliation of the statutory rate to the effective tax rate is performed at the UK current year statutory rate of 19%. In June 2021, legislation was enacted in the U.K. to increase the corporation tax rate to 25% with effect from April 2023.</w:t>
      </w:r>
    </w:p>
    <w:p>
      <w:pPr>
        <w:spacing w:after="0" w:line="170"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Income tax expense was $147 million, $110 million and $153 million for the fiscal years ended March 31, 2023, 2022 and 2021, respectively. Arm’s effective tax rate for the fiscal years ended March 31, 2023, 2022 and 2021 was 22%, 14% and 22%, respectively. The Company’s effective tax rate increased by 8% primarily due to significant irrecoverable withholding taxes in the fiscal year ended March 31, 2023.</w:t>
      </w:r>
    </w:p>
    <w:p>
      <w:pPr>
        <w:spacing w:after="0" w:line="9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0940"/>
          </w:cols>
          <w:pgMar w:left="320" w:top="459" w:right="6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deferred tax assets and liabilities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1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6"/>
          </w:tcPr>
          <w:p>
            <w:pPr>
              <w:jc w:val="right"/>
              <w:ind w:right="221"/>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6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liability</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losses and R&amp;D tax credits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Reserves and 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 net of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Outside basis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w w:val="90"/>
              </w:rPr>
              <w:t>(110)</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0"/>
              </w:rPr>
              <w:t>(116)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Hedging reserve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w w:val="90"/>
              </w:rPr>
              <w:t>(218)</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0"/>
              </w:rPr>
              <w:t>(224)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0"/>
              </w:rPr>
              <w:t>(349)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(362)</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(123</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March 31, 2023, the Company had a United Kingdom corporate tax loss carryforward of $42 million ($10 million tax effected) and U.K. R&amp;D Expenditure Credits of $37 million. These tax losses have no expiration date. The Company has U.S. federal net operating loss carryforwards of approximately $14 million ($3 million tax effected) of which $1 million has no expiration date and $13 million ($3 million tax effected) will expire between fiscal years 2033 and 2038 if not utilized. The Company also has a tax asset in respect of state net operating losses of $46 million ($3 million net of federal benefit) which will expire between fiscal years 2025 and 2043 if not utilized. The Company has U.S. Federal tax credit carryforwards of $72 million which will expire between 2035 and 2043. In addition, the Company has state tax credits of $37 million ($29 million net of federal benefit) of which $22 million has no expiration date and $15 million will expire between 2037 and 2043.</w:t>
      </w:r>
    </w:p>
    <w:p>
      <w:pPr>
        <w:spacing w:after="0" w:line="17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As of March 31, 2023, the Company has provided a valuation allowance on certain U.K. tax losses and US State R&amp;D tax credits. This is based on an analysis of historical taxable income, the projected reversal of deferred tax liabilities, projected taxable income and tax planning strategies. The Company believes, more likely than not, that it will have sufficient taxable income to utilize its remaining deferred tax assets.</w:t>
      </w:r>
    </w:p>
    <w:p>
      <w:pPr>
        <w:spacing w:after="0" w:line="16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Utilization of the U.S. federal net operating loss and tax credit carryforwards may be subject to annual limitations due to the ownership change limitations provided by the U.S. Internal Revenue Code of 1986, as amended, and similar state provisions. Such annual limitations could result in the expiration of the net operating loss and tax credit carryforwards before their utilization. The events that may cause ownership changes include, but are not limited to, a cumulative stock ownership change of greater than 50% over a three-year period.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2023, the Company intends to indefinitely reinvest approximately $154 million of cumulative undistributed earnings of its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 and no deferred tax liability was recorded for these undistributed earnings.</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20"/>
          </w:cols>
          <w:pgMar w:left="320" w:top="459" w:right="55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changes in gross unrecognized tax benefits: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Fiscal Year Ended March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2022</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unrecognized tax benefits — April 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Gross increases — tax positions in prior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Gross increases — tax positions in current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Gross unrecognized tax benefits — March 31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Included in the balance of unrecognized tax benefits as of March 31, 2023, 2022 and 2021 are $56 million, $44 million and $65 million, respectively, of tax benefits that, if recognized, would affect the effective tax rate.</w:t>
      </w:r>
    </w:p>
    <w:p>
      <w:pPr>
        <w:spacing w:after="0" w:line="170"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 recognizes interest accrued related to unrecognized tax benefits and penalties as income tax expense. The Company recognized expense of $0.8 million, $0.7 million and $8.0 million for interest and penalties associated to income tax liabilities as of March 31, 2023, 2022 and 2021, respectively. As of March 31, 2023, 2022 and 2021, the Company had total accrued interest and penalties of $14.2 million, $15.8 million and $15.5 million, respectively, which is included in other non-current liabilities on the Consolidated Balance Sheets.</w:t>
      </w:r>
    </w:p>
    <w:p>
      <w:pPr>
        <w:spacing w:after="0" w:line="17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While the Company believes it has adequately provided for all tax positions, amounts asserted by tax authorities could be greater or less than the position. Accordingly, provisions on federal, state and foreign tax-related matters to be recorded in the future may change as revised estimates are made or the underlying matters are settled or otherwise resolved. As of March 31, 2023, the Company has not identified any positions for which it is reasonably possible that the total amounts of unrecognized tax benefits will significantly increase or decrease within the next twelve months.</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is subject to taxation in the United Kingdom and various states and foreign jurisdictions. As of March 31, 2023, the Company is no longer subject to examination by the United Kingdom tax authorities for the fiscal years ended March 31, 2018 or earlier. U.S. Federal returns for the calendar year ended December 31, 2003 and later periods are subject to audit with the exception of the calendar years ended December 31, 2011 to December 31, 2012.</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a reconciliation of basic and diluted earnings per share computations for all periods presented: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Fiscal Years Ended March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351"/>
              <w:spacing w:after="0" w:line="129" w:lineRule="exact"/>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351"/>
              <w:spacing w:after="0" w:line="129" w:lineRule="exact"/>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31"/>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CCEEFF"/>
            </w:tcBorders>
            <w:shd w:val="clear" w:color="auto" w:fill="000000"/>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Income (loss) attributable to ordinary</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 — basic and diluted</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c>
          <w:tcPr>
            <w:tcW w:w="5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ordinary shares used to</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calculate income (loss) per share — basic</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1,025,234,000</w:t>
            </w: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Equity-classified shared-based awards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2,271,008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ordinary shares used to</w:t>
            </w: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calculate income (loss) per share — diluted</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1,027,505,008</w:t>
            </w:r>
          </w:p>
        </w:tc>
        <w:tc>
          <w:tcPr>
            <w:tcW w:w="7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1,025,234,000</w:t>
            </w: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8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Income (loss) per share attributable to</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b w:val="1"/>
                <w:bCs w:val="1"/>
                <w:color w:val="auto"/>
              </w:rPr>
              <w:t>ordinary shareholders — basic</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(loss) per share attributable to</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b w:val="1"/>
                <w:bCs w:val="1"/>
                <w:color w:val="auto"/>
              </w:rPr>
              <w:t>ordinary shareholders — diluted</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371"/>
              <w:spacing w:after="0"/>
              <w:rPr>
                <w:sz w:val="20"/>
                <w:szCs w:val="20"/>
                <w:color w:val="auto"/>
              </w:rPr>
            </w:pPr>
            <w:r>
              <w:rPr>
                <w:rFonts w:ascii="Arial" w:cs="Arial" w:eastAsia="Arial" w:hAnsi="Arial"/>
                <w:sz w:val="18"/>
                <w:szCs w:val="18"/>
                <w:color w:val="auto"/>
              </w:rPr>
              <w:t>F-59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Securities that would have been anti-dilutive were excluded from the computation of diluted earnings per share for all periods presented. The following securities were not included in the computation of diluted shares outstanding primarily because for all reporting periods a change in control or an initial public offering was not probable to occur under GAAP, and therefore, settlement of securities is expected in cash upon the passage of time.</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9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7"/>
              </w:rPr>
              <w:t>Fiscal Years Ended March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units (1)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16,870,903</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14,230,025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17,612,777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Executive Awards (2)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546,262</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17,417,165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14,230,025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17,612,777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5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Total RSUs include amounts associated with discontinued operations where applicable, but exclude certain awards which require cash settlement and do not allow for share settlement.</w:t>
      </w:r>
    </w:p>
    <w:p>
      <w:pPr>
        <w:spacing w:after="0" w:line="1" w:lineRule="exact"/>
        <w:rPr>
          <w:rFonts w:ascii="Arial" w:cs="Arial" w:eastAsia="Arial" w:hAnsi="Arial"/>
          <w:sz w:val="18"/>
          <w:szCs w:val="18"/>
          <w:color w:val="auto"/>
        </w:rPr>
      </w:pPr>
    </w:p>
    <w:p>
      <w:pPr>
        <w:jc w:val="both"/>
        <w:ind w:left="540" w:right="120" w:hanging="424"/>
        <w:spacing w:after="0" w:line="255"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Executive Awards include amounts associated with the Annual Awards and Launch Awards. As these awards require settlement based on a fixed monetary amount, the quantity of securities was calculated based on the total fixed monetary amount divided by the closing average market price of ordinary shares.</w:t>
      </w:r>
    </w:p>
    <w:p>
      <w:pPr>
        <w:spacing w:after="0" w:line="334"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From time to time, the Company is party to litigation and other legal proceedings in the ordinary course of business. While the results of any litigation or other legal proceedings are uncertain, management does not believe the ultimate resolution of any pending legal matters is likely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$40.0 million loss contingency to settle legal claims by and against the Company with a non-top five customer. That particular customer’s claims arise from a contract dating to a very early period in the Company’s history (1993) and that contract is both non-standard and significantly dissimilar from other customers’ contracts. The Company took into consideration advice received from experts in the specific matter and current status of settlement negotiations, which may be ongoing. The liability of $40.0 million is included in other current liabilities on the Consolidated Balance Sheets. No other material amounts related to litigation settlements were recognized in the fiscal years ended March 31, 2023, 2022 and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Kronos Guarantee</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March 2022, a wholly owned United Kingdom subsidiary of SoftBank, Kronos I (UK) Limited (“Kronos”), was created for the purpose of SoftBank arranging a non-recourse facility agreement (the “Facility Agreement”) with J.P. Morgan SE as Facility Agent to be secured by its 75.01% equity interest in the Company. SoftBank pledged its ownership interest in the Company by transferring such interest to an entity that sits between Kronos and the Company, and SoftBank has no further obligation under the Facility Agreement. The Company is in compliance with all applicable operating and financial covenants pursuant to the Facility Agreement for the fiscal years presented.</w:t>
      </w:r>
    </w:p>
    <w:p>
      <w:pPr>
        <w:spacing w:after="0" w:line="18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Under the Facility Agreement, the lenders initially were committed to make up to $8.0 billion of funds available to Kronos under a “Bridge Facility” and “Term Facility”, together with the Bridge Facility, (the “Facility”). In March 2022, the Term Facility was funded for $7.1 billion and the Bridge Facility was funded for $0.9 billion.</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June 2022, an amendment was executed which expanded the total commitment of the Term Facility to $8.5 billion via an additional term facility of $1.4 billion, $0.9 billion of which was used to repay the Bridge Facility in full with the remaining $0.5 billion representing incremental debt. The Term Facility matures on the earlier of two years after Kronos draws upon the facility or three months after the effective date of a public listing of the Company’s ordinary shares.</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Beyond the pledge of the 75.01% interest in the Company as collateral for the Facility, in March 2022, the Company entered into the Arm Undertaking (the “Undertaking”) to confirm and agree to comply with certain terms of the Facility Agreement (including operational restrictions) and a springing guarantee and indemnity agreement (the “Guarantee”) with J.P. Morgan SE. The Guarantee commences upon an “Arm Guarantee Trigger Event,” which includes a public listing of the Company’s ordinary shares not occurring within 18 months of the closing date of the Facility or any public announcement or notice to lenders that a listing will not be undertaken and failure by the Company or its subsidiaries to comply with the obligations under the Undertaking. Until an Arm Guarantee Trigger Event occurs, the Company is not obligated to perform or make payment on the obligations of Kronos.</w:t>
      </w:r>
    </w:p>
    <w:p>
      <w:pPr>
        <w:spacing w:after="0" w:line="16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Once an Arm Guarantee Trigger Event has occurred, the Company guarantees all overdue payments under the Facility Agreement. The total commitment is $8.5 billion and would only become a potential obligation to the Company if Kronos were to default on any such obligation, as Kronos remains the primary obligor under the Facility Agreement even after an Arm Guarantee Trigger Event. Upon default, the lenders can satisfy their claim either through the collateral of 75.01% interest in the Company or through the Company servicing the debt and meeting payment obligations pursuant to the Guarantee. SoftBank as the owner of Kronos may avoid default by restructuring the Facility Agreement, or otherwise monetizing the collateral for the necessary liquidity to meet payment obligations under the Facility Agreement. The Company believes that the likelihood of assuming the debt obligations under the Guarantee is remote due to Kronos’ significant collateralization of the obligations under the Facility Agreement and that Softbank will avoid a default by Kronos for which the obligations would become enforceable against the Company.</w:t>
      </w:r>
    </w:p>
    <w:p>
      <w:pPr>
        <w:spacing w:after="0" w:line="16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the Company’s potential obligation is an issued Guarantee to the lenders for obligations of Kronos, an entity under common control, the Company is not required to recognize the Guarantee.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Arduino Guarantee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is guarantor for a $5.4 million credit facility available to Arduino SA. The guaranty expires in January 2024. As of March 31, 2023 and 2022, no claims have been made against the guaranty.</w:t>
      </w:r>
    </w:p>
    <w:p>
      <w:pPr>
        <w:spacing w:after="0" w:line="315"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 Plans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contributes to defined contribution plans substantially covering all employees in Europe and the U.S., and to government pension plans for employees in Japan, South Korea, Taiwan, Peoples Republic of China, Israel and India. The Company contributes to these plans based upon various fixed percentages of employee compensation, and such contributions are expensed as incurred.</w:t>
      </w:r>
    </w:p>
    <w:p>
      <w:pPr>
        <w:spacing w:after="0" w:line="184"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For the fiscal years ended March 31, 2023, 2022, and 2021, $78.4 million, $77.0 million, and $67.6 million, respectively was recorded in the Consolidated Income Statements related to contributions payable to these plans by the Company at rates specified in the rules of the plans. As of March 31, 2023 and 2022, $9.6 million and $9.3 million, respectively, of contributions due had not been paid over to the plans and were recorded in accrued compensation and benefits on the Consolidated Balance Sheets.</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 and Acetone Limited</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Subsequent to the restructuring of its direct investment in Arm China, the Company has a 10% non-voting ownership interest in Acetone Limited, whose primary asset is a 48.18% interest in Arm China. The Company has no direct material transactions with Acetone Limited.</w:t>
      </w:r>
    </w:p>
    <w:p>
      <w:pPr>
        <w:spacing w:after="0" w:line="170"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For the fiscal years ended March 31, 2023, 2022 and 2021, the Company recognized revenue of $649 million, $474.2 million and $413.1 million, respectively under the terms of the IPLA and recognized expenses of $64.1 million, $63.5 million and $52.7 million, respectively from Arm China under a service share arrangement with Arm China.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leases certain assets to Arm China. For the fiscal years ended March 31, 2023, 2022 and 2021,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recognized rental income of $2.0 million, $1.6 million and $1.0 million, respectively, from this lease arrangement.</w:t>
      </w:r>
    </w:p>
    <w:p>
      <w:pPr>
        <w:spacing w:after="0" w:line="21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As of March 31, 2023, the Company had a net receivable of $386.9 million ($400.7 million receivable less $13.9 million payable) from Arm China. As of March 31, 2023, the Company had contract liabilities of $103.4 million. As of March 31, 2022, the Company had a net receivable of $574.3 million ($602.2 million receivable less $27.9 million payable) from Arm China. As of March 31, 2022, the Company had contract liabilities of $122.4 million relating to Arm China.</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Equity Investments</w:t>
      </w:r>
      <w:r>
        <w:rPr>
          <w:rFonts w:ascii="Arial" w:cs="Arial" w:eastAsia="Arial" w:hAnsi="Arial"/>
          <w:sz w:val="18"/>
          <w:szCs w:val="18"/>
          <w:color w:val="auto"/>
        </w:rPr>
        <w:t>, for discussion of the impact of Arm China and Acetone Limited on the Company’s results, and the distribution of the Company’s shareholding in Arm China to the owners of the Company in the fiscal year ended March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Entities Related by Virtue of Common Control in SoftBank</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The Company also had other revenue and expense transactions, along with receivable and balances with other entities by virtue of common control in SoftBank. For the fiscal years ended March 31, 2023, 2022 and 2021, the Company recognized revenue of $1.3 million, $1.5 million and zero, respectively, and expenses of $0.3 million, $1.7 million and $0.2 million, respectively. As of March 31, 2023, the Company had accounts receivable, other receivables and contract liabilities of $0.5 million, $12 million and $1.6 million, respectively. As of March 31, 2022, the Company had accounts receivable and other receivables of $2.1 million and $12.0 million, respectively. The Company also had immaterial lessee leases with a certain related party by virtue of common control in SoftBank.</w:t>
      </w:r>
    </w:p>
    <w:p>
      <w:pPr>
        <w:spacing w:after="0" w:line="1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For the fiscal years ended March 31, 2022 and 2021, from discontinued operations, the Company recognized revenue of $3.6 million and $8.3 million and expenses of $0.2 million and $5.4 million, respectively.</w:t>
      </w:r>
    </w:p>
    <w:p>
      <w:pPr>
        <w:spacing w:after="0" w:line="170"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Prior to the distribution of Treasure Data in June 2021, a loan of $50.0 million was issued by SoftBank Vision Fund II, a member of SoftBank to Treasure Data. Interest on this loan balance was charged at 2.0% per annum. The loan balance, including accrued interest, was included in the distribution to shareholders of the Company.</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discussion regarding the distribution of Treasure Data and the sale of IoTP by the Company to SoftBank in the fiscal year ended March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Non-Recourse Facility</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March 2022, Kronos entered into the Facility Agreement which is secured by its 75.01% interest in the Company. The Company also entered into the Undertaking to confirm and agree to comply with the terms of the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Facility Agreement and a Guarantee of the obligations under the Facility Agreement owed by Kronos, an entity under common control of SoftBank. Under the terms of the Guarantee, upon an Arm Guarantee Trigger Event, the Guarantee springs into effect, such that any future payment default by Kronos following such date may require performance by the Company if not settled by use of the share collateral or otherwise restructured. Refer to Note 19,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further details on this Guarantee. The Guarantee does not spring into effect if a public listing has become effective, and if a public listing takes place after the Guarantee has become effective, the Guarantee terminates.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Equity Investments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has revenue transactions, along with receivable and contract liability balances for certain other equity investees, for which the Company has significant influence or, for investments in limited partnerships or certain limited liability companies that maintain a specific ownership account for each investor, has more than virtually no influence (i.e., at least 3% to 5% ownership). For the fiscal years ended March 31, 2023, 2022 and 2021, the Company recognized revenue of $3.5 million, $8.5 million and $34.8 million, respectively.</w:t>
      </w:r>
    </w:p>
    <w:p>
      <w:pPr>
        <w:spacing w:after="0" w:line="18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As of March 31, 2023, the Company had accounts receivable, contract assets and contract liabilities of $0.5 million, $8.7 million and $30.2 million, respectively. As of March 31, 2022, the Company had accounts receivable, contract assets and contract liabilities of $7.4 million, $0.5 million and $15.5 million, respectively.</w:t>
      </w:r>
    </w:p>
    <w:p>
      <w:pPr>
        <w:spacing w:after="0" w:line="18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For the fiscal years ended March 31, 2023, 2022 and 2021, the Company recognized aggregate distributions and dividends from certain equity investments of zero, $1.9 million and $5.0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Linaro Limited</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Linaro Limited (“Linaro”) is a not-for-profit entity for which the Company is a member and exhibits significant influence. For the fiscal years ended March 31, 2023, 2022 and 2021, the Company incurred subscription costs of $8.9 million, $7.9 million and $8.4 million, respectively, from Linaro. As of March 31, 2023 and 2022, $0.3 million and zero was owed to Linaro.</w:t>
      </w:r>
    </w:p>
    <w:p>
      <w:pPr>
        <w:spacing w:after="0" w:line="184"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In the fiscal year ended March 31, 2021, the Company earned fees of $1.3 million for providing consulting and other services to Linaro. All fees have been charged in accordance with the terms of the agreement. As of March 31, 2023, no amount was owed to the Company.</w:t>
      </w:r>
    </w:p>
    <w:p>
      <w:pPr>
        <w:spacing w:after="0" w:line="14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February 2023, the Company entered into an agreement with Linaro to sell certain net assets of the Company that meets the definition of a business in exchange for cash consideration of $4.0 million to be paid in equal annual installments over five years. As of March 31, 2023 total purchase consideration remained unpaid. As a result of the transaction, in the year ended March 31, 2023, the Company derecognized associated net asset and recognized a gain of $3.7 million in other non-operating income (loss), net on the Consolidated Income Statement.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to Related Parties</w:t>
      </w:r>
    </w:p>
    <w:p>
      <w:pPr>
        <w:spacing w:after="0" w:line="117"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The Company’s equity investment in Trustonic Limited was written down to zero carrying value due to recognition of the Company’s share of losses. Accordingly, the Company’s subsequent share of losses has been written off against the loan balance due from Trustonic Limited. For the fiscal year ended March 31, 2022, the loan balance was written down to zero, through a combination of impairment and losses recognized.</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As of March 31, 2023 and 2022, the Company had a loan receivable of $19.2 million and $23.0 million, respectively with Arduino, a related party, which was subject to impairment considerations. As of March 31, 2022, the Company also had an outstanding loan receivable of $3.0 million with Cerfe Labs, Inc., a related party. For the fiscal year ended March 31, 2023, the Company fully impaired the loan receivable from Cerfe Labs. Refer to Note 11,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further information regarding these loans.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 xml:space="preserve">As of March 31, 2023 and 2022, the Company also had a convertible loan receivable from Ampere, a related party, of $30.9 million $29.0 million, respectively. Refer to Note 13, </w:t>
      </w:r>
      <w:r>
        <w:rPr>
          <w:rFonts w:ascii="Arial" w:cs="Arial" w:eastAsia="Arial" w:hAnsi="Arial"/>
          <w:sz w:val="18"/>
          <w:szCs w:val="18"/>
          <w:i w:val="1"/>
          <w:iCs w:val="1"/>
          <w:color w:val="auto"/>
        </w:rPr>
        <w:t>Fair Value</w:t>
      </w:r>
      <w:r>
        <w:rPr>
          <w:rFonts w:ascii="Arial" w:cs="Arial" w:eastAsia="Arial" w:hAnsi="Arial"/>
          <w:sz w:val="18"/>
          <w:szCs w:val="18"/>
          <w:color w:val="auto"/>
        </w:rPr>
        <w:t>, for further information regarding this loan.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relationships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In the year ended March 31, 2023, the Company entered into an agreement with Raine Securities LLC, a related party, for certain advisory services. For the year ended March 31, 2023, the Company incurred $2.5 million in fees which remain unpaid as of the fiscal year end.</w:t>
      </w:r>
    </w:p>
    <w:p>
      <w:pPr>
        <w:spacing w:after="0" w:line="291"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has determined its Chief Executive Officer is its chief operating decision maker. The Company’s Chief Executive Officer reviews financial information presented on a consolidated basis for purposes of assessing performance and making resource allocation decisions. Accordingly, the Company has determined that it operates as a single operating and reportable segment.</w:t>
      </w:r>
    </w:p>
    <w:p>
      <w:pPr>
        <w:spacing w:after="0" w:line="18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Revenue by geographic region is allocated to individual countries based on the principal headquarters of customers. The geographical locations are not necessarily indicative of the country in which the customer sells products containing the Company’s technology IP. The following table summarizes information pertaining to revenue from customers based on the principal headquarter address by geographic regions: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7"/>
          </w:tcPr>
          <w:p>
            <w:pPr>
              <w:ind w:left="24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6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2023</w:t>
            </w:r>
          </w:p>
        </w:tc>
        <w:tc>
          <w:tcPr>
            <w:tcW w:w="92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$1,088</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$1,243</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PRC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Republic of Korea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2,679</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2,703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 the fiscal year ended March 31, 2023, the Company had three customers that collectively represented 44% of total revenue (42% for the fiscal years ended March 31, 2022 and 2021), with the single largest customer accounting for 24% of total revenue (18% and 20% for the fiscal years ended March 31, 2022 and 2021, respectively), the second largest customer accounting for 11 % of total revenue (12% for the fiscal years ended March 31, 2022 and 2021) and the third largest customer accounting for 9% of total revenue (12% and 10% for the fiscal years ended March 31, 2022 and 2021, respectively). No other customer represented 10% or more of total revenue for all periods presented.</w:t>
      </w:r>
    </w:p>
    <w:p>
      <w:pPr>
        <w:spacing w:after="0" w:line="1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Arm China, represented 40% of total receivables as of March 31, 2023 (54% of total receivables as of March 31, 2022). No other customer represented more than 10% of receivables for the period presented.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Long-lived assets by geographic area based on physical location of the assets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194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4340" w:type="dxa"/>
            <w:vAlign w:val="bottom"/>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4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$ 281</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200" w:type="dxa"/>
            <w:vAlign w:val="bottom"/>
            <w:gridSpan w:val="3"/>
          </w:tcPr>
          <w:p>
            <w:pPr>
              <w:jc w:val="right"/>
              <w:ind w:right="460"/>
              <w:spacing w:after="0"/>
              <w:rPr>
                <w:sz w:val="20"/>
                <w:szCs w:val="20"/>
                <w:color w:val="auto"/>
              </w:rPr>
            </w:pPr>
            <w:r>
              <w:rPr>
                <w:rFonts w:ascii="Arial" w:cs="Arial" w:eastAsia="Arial" w:hAnsi="Arial"/>
                <w:sz w:val="18"/>
                <w:szCs w:val="18"/>
                <w:color w:val="auto"/>
              </w:rPr>
              <w:t>78</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5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$ 391</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0" w:type="dxa"/>
            <w:vAlign w:val="bottom"/>
            <w:gridSpan w:val="3"/>
          </w:tcPr>
          <w:p>
            <w:pPr>
              <w:ind w:left="1440"/>
              <w:spacing w:after="0"/>
              <w:rPr>
                <w:sz w:val="20"/>
                <w:szCs w:val="20"/>
                <w:color w:val="auto"/>
              </w:rPr>
            </w:pPr>
            <w:r>
              <w:rPr>
                <w:rFonts w:ascii="Arial" w:cs="Arial" w:eastAsia="Arial" w:hAnsi="Arial"/>
                <w:sz w:val="18"/>
                <w:szCs w:val="18"/>
                <w:color w:val="auto"/>
              </w:rPr>
              <w:t>F-64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has evaluated subsequent events through July 31, 2023, the date the consolidated financial statements were available to be issued, and has identified none requiring recognition or disclosure.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American Depositary Shares</w:t>
      </w:r>
    </w:p>
    <w:p>
      <w:pPr>
        <w:spacing w:after="0" w:line="36" w:lineRule="exact"/>
        <w:rPr>
          <w:sz w:val="20"/>
          <w:szCs w:val="20"/>
          <w:color w:val="auto"/>
        </w:rPr>
      </w:pPr>
    </w:p>
    <w:p>
      <w:pPr>
        <w:ind w:left="3040"/>
        <w:spacing w:after="0"/>
        <w:tabs>
          <w:tab w:leader="none" w:pos="6040" w:val="left"/>
        </w:tabs>
        <w:rPr>
          <w:sz w:val="20"/>
          <w:szCs w:val="20"/>
          <w:color w:val="auto"/>
        </w:rPr>
      </w:pPr>
      <w:r>
        <w:rPr>
          <w:rFonts w:ascii="Arial" w:cs="Arial" w:eastAsia="Arial" w:hAnsi="Arial"/>
          <w:sz w:val="29"/>
          <w:szCs w:val="29"/>
          <w:b w:val="1"/>
          <w:bCs w:val="1"/>
          <w:color w:val="auto"/>
        </w:rPr>
        <w:t>(Representing</w:t>
      </w:r>
      <w:r>
        <w:rPr>
          <w:sz w:val="20"/>
          <w:szCs w:val="20"/>
          <w:color w:val="auto"/>
        </w:rPr>
        <w:tab/>
      </w: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2788920</wp:posOffset>
            </wp:positionV>
            <wp:extent cx="1474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1057275</wp:posOffset>
            </wp:positionV>
            <wp:extent cx="1894205" cy="6083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9420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Joint Book-Running Managers*</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499"/>
        <w:spacing w:after="0"/>
        <w:rPr>
          <w:sz w:val="20"/>
          <w:szCs w:val="20"/>
          <w:color w:val="auto"/>
        </w:rPr>
      </w:pPr>
      <w:r>
        <w:rPr>
          <w:rFonts w:ascii="Arial" w:cs="Arial" w:eastAsia="Arial" w:hAnsi="Arial"/>
          <w:sz w:val="29"/>
          <w:szCs w:val="29"/>
          <w:b w:val="1"/>
          <w:bCs w:val="1"/>
          <w:color w:val="auto"/>
        </w:rPr>
        <w:t>Mizuho</w:t>
      </w:r>
    </w:p>
    <w:p>
      <w:pPr>
        <w:spacing w:after="0" w:line="13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*In alphabetical order</w:t>
      </w: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Through and including , 2023 (the 25th day after the date of this prospectus), all the dealers effecting transactions in the ADSs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386080</wp:posOffset>
            </wp:positionV>
            <wp:extent cx="6995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760"/>
          </w:cols>
          <w:pgMar w:left="320" w:top="459" w:right="81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Subject to the provisions of the Companies Act, but without prejudice to any indemnity to which the person concerned may otherwise be entitled, every director, former director and secretary of the Company (the “Relevant Officer”) shall have the benefit of the following indemnification provisions in the Articles against any liability incurred by or attaching to them (and including all costs, charges, losses, expenses and liabilities incurred by them in relation thereto), provided that the Articles shall be deemed not to provide for, or entitle any such person to, indemnification to the extent that it would cause the Articles, or any element of them, to be treated as void under the Companies Act:</w:t>
      </w:r>
    </w:p>
    <w:p>
      <w:pPr>
        <w:spacing w:after="0" w:line="82" w:lineRule="exact"/>
        <w:rPr>
          <w:sz w:val="20"/>
          <w:szCs w:val="20"/>
          <w:color w:val="auto"/>
        </w:rPr>
      </w:pPr>
    </w:p>
    <w:p>
      <w:pPr>
        <w:ind w:left="1080" w:hanging="424"/>
        <w:spacing w:after="0" w:line="272"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connection with any negligence, default, breach of duty or breach of trust by them in relation to the Company or any associated company (as defined in section 256 of the Companies Act) thereof, other than: (i) any liability incurred to the Company or any associated company thereof; (ii) the payment of a fine imposed in any criminal proceeding or a sum payable to a regulatory authority by way of a penalty in respect of non-compliance with any requirement of a regulatory nature (however arising); (iii) the defense of any criminal proceeding if the Relevant Officer is convicted, (iv) the defense of any civil proceeding brought by the Company or its associated company in which judgment is given against the Relevant Officer; and (v) any application for relief under sections 661(3), 661(4) or 1157 of the Companies Act in which the court refuses to grant relief to the Relevant Officer; and</w:t>
      </w:r>
    </w:p>
    <w:p>
      <w:pPr>
        <w:spacing w:after="0" w:line="82" w:lineRule="exact"/>
        <w:rPr>
          <w:rFonts w:ascii="Arial" w:cs="Arial" w:eastAsia="Arial" w:hAnsi="Arial"/>
          <w:sz w:val="17"/>
          <w:szCs w:val="17"/>
          <w:color w:val="auto"/>
        </w:rPr>
      </w:pPr>
    </w:p>
    <w:p>
      <w:pPr>
        <w:ind w:left="1080" w:right="120" w:hanging="424"/>
        <w:spacing w:after="0" w:line="301"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relation to or in connection with their duties, powers or office, including in connection with the activities of the Company or an associated company thereof in their capacity as a trustee of an occupational pension scheme, other than: (i) the payment of a fine imposed in any criminal proceeding or a sum payable to a regulatory authority by way of a penalty in respect of non-compliance with any requirement of a regulatory nature (however arising); and (ii) the defense of any criminal proceeding if the Relevant Officer is convicted.</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the provisions of the Companies Act, the Company may provide any Relevant Officer with funds to meet expenditures incurred or to be incurred by them: (i) in defending any criminal or civil proceedings in connection with any negligence, default, breach of duty or breach of trust by them in relation to the Company or an associated company thereof, or (ii) in connection with any application for relief under the provisions mentioned in section 205 of the Companies Act and otherwise may take any action to enable any such Relevant Officer to avoid incurring such expenditure. Relevant Officers who have received payment from the Company under the relevant indemnification provisions must repay the amount they received in accordance with the Companies Act or in any other circumstances that the Company may prescribe or where the Company has reserved the right to require repayment.</w:t>
      </w:r>
    </w:p>
    <w:p>
      <w:pPr>
        <w:spacing w:after="0" w:line="19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underwriting agreement that the Company will enter into in connection with the offering of ADSs being registered hereby provides that the underwriters will indemnify, under certain conditions, the Relevant Officers of the Company against certain liabilities arising in connection with this offering.</w:t>
      </w:r>
    </w:p>
    <w:p>
      <w:pPr>
        <w:spacing w:after="0" w:line="20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issued and sold the following securities:</w:t>
      </w:r>
    </w:p>
    <w:p>
      <w:pPr>
        <w:spacing w:after="0" w:line="22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Since April 1, 2020, we have granted certain employees an aggregate of 1,524,917 RSUs under the 2019 AEP, certain executive officers an aggregate of 192,900 RSUs under the 2019 EIP, certain employees an aggregate of 16,819,839 RSUs under the 2022 RSU Plan and certain of our non-executive directors an aggregate of 13,340 RSUs under the NED Plan.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jc w:val="both"/>
        <w:ind w:left="120" w:right="340" w:firstLine="440"/>
        <w:spacing w:after="0" w:line="291" w:lineRule="auto"/>
        <w:rPr>
          <w:sz w:val="20"/>
          <w:szCs w:val="20"/>
          <w:color w:val="auto"/>
        </w:rPr>
      </w:pPr>
      <w:r>
        <w:rPr>
          <w:rFonts w:ascii="Arial" w:cs="Arial" w:eastAsia="Arial" w:hAnsi="Arial"/>
          <w:sz w:val="16"/>
          <w:szCs w:val="16"/>
          <w:color w:val="auto"/>
        </w:rPr>
        <w:t>Unless otherwise stated, the issuances of the above securities were deemed to be exempt from registration under the Securities Act in reliance upon (i) Section 4(a)(2) of the Securities Act or Regulation D promulgated thereunder as transactions by an issuer not involving any public offering,</w:t>
      </w:r>
    </w:p>
    <w:p>
      <w:pPr>
        <w:ind w:left="120" w:right="140" w:hanging="4"/>
        <w:spacing w:after="0" w:line="255" w:lineRule="auto"/>
        <w:tabs>
          <w:tab w:leader="none" w:pos="3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under Regulation S promulgated under the Securities Act as offers, sales and issuances were not made to persons in the U.S. and no directed selling efforts were made in the U.S., or (iii) under Rule 701 promulgated under the Securities Act as transactions pursuant to benefit plans and contracts relating to compensation.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Exhibits</w:t>
            </w:r>
          </w:p>
        </w:tc>
        <w:tc>
          <w:tcPr>
            <w:tcW w:w="32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373"/>
        </w:trPr>
        <w:tc>
          <w:tcPr>
            <w:tcW w:w="80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174"/>
        </w:trPr>
        <w:tc>
          <w:tcPr>
            <w:tcW w:w="80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5"/>
                <w:szCs w:val="15"/>
                <w:color w:val="auto"/>
              </w:rPr>
            </w:pPr>
          </w:p>
        </w:tc>
        <w:tc>
          <w:tcPr>
            <w:tcW w:w="9900" w:type="dxa"/>
            <w:vAlign w:val="bottom"/>
          </w:tcPr>
          <w:p>
            <w:pPr>
              <w:ind w:left="4300"/>
              <w:spacing w:after="0"/>
              <w:rPr>
                <w:sz w:val="20"/>
                <w:szCs w:val="20"/>
                <w:color w:val="auto"/>
              </w:rPr>
            </w:pPr>
            <w:r>
              <w:rPr>
                <w:rFonts w:ascii="Arial" w:cs="Arial" w:eastAsia="Arial" w:hAnsi="Arial"/>
                <w:sz w:val="14"/>
                <w:szCs w:val="14"/>
                <w:color w:val="auto"/>
              </w:rPr>
              <w:t>Description of Exhibit</w:t>
            </w:r>
          </w:p>
        </w:tc>
      </w:tr>
      <w:tr>
        <w:trPr>
          <w:trHeight w:val="311"/>
        </w:trPr>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Articles of Association, as amended.</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Articles of Association to become effective upon the closing of this offering.</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Deposit Agreement.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American Depositary Receipt (included in exhibit 4.1).</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Opinion of Morrison &amp; Foerster (UK) LLP.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26"/>
                <w:szCs w:val="26"/>
                <w:color w:val="auto"/>
                <w:vertAlign w:val="superscript"/>
              </w:rPr>
              <w: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Arm IP License Agreement, dated April 24, 2018, by and between Arm Limited and Arm Technology (China) Co. Ltd.</w:t>
            </w:r>
          </w:p>
        </w:tc>
      </w:tr>
      <w:tr>
        <w:trPr>
          <w:trHeight w:val="230"/>
        </w:trPr>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10.2*#</w:t>
            </w:r>
          </w:p>
        </w:tc>
        <w:tc>
          <w:tcPr>
            <w:tcW w:w="3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The 2023 Omnibus Incentive Plan.</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21.1*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Consent of Deloitte &amp; Touche LLP, the Registrant’s independent registered public accounting firm.</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Consent of Morrison &amp; Foerster (UK) LLP (included in Exhibit 5.1).</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24.1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Power of Attorney (included on signature page to this registration statement).</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right="140" w:hanging="424"/>
        <w:spacing w:after="0" w:line="250"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because it is both not material and is the type of information that the Company treats as private or confidential. The Company agrees to furnish supplementally an unredacted copy of this exhibit to the SEC upon its request.</w:t>
      </w:r>
    </w:p>
    <w:p>
      <w:pPr>
        <w:spacing w:after="0" w:line="1"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None. All schedules have been omitted because the information required to be set forth therein is not applicable or has been included in the consolidated financial statements and notes thereto.</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or otherwise, the Registrant has been informed that in the opinion of the SEC such indemnification is against public policy as expressed in</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Securities Act, and is, therefore, unenforceable. In the event that a claim for indemnification against such liabilities (other than the payment by the Registrant of expenses incurred or paid by a director, officer or person controlling the Registrant in the successful defense of any action, suit or proceeding) is asserted by such director, officer or person controlling the Registrant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hanging="532"/>
        <w:spacing w:after="0" w:line="291"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right="580"/>
        <w:spacing w:after="0" w:line="260"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90"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2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8"/>
              </w:rPr>
              <w:t>authorized, in the City of Cambridge, United Kingdom on</w:t>
            </w:r>
          </w:p>
        </w:tc>
        <w:tc>
          <w:tcPr>
            <w:tcW w:w="2860" w:type="dxa"/>
            <w:vAlign w:val="bottom"/>
          </w:tcPr>
          <w:p>
            <w:pPr>
              <w:ind w:left="300"/>
              <w:spacing w:after="0"/>
              <w:rPr>
                <w:sz w:val="20"/>
                <w:szCs w:val="20"/>
                <w:color w:val="auto"/>
              </w:rPr>
            </w:pPr>
            <w:r>
              <w:rPr>
                <w:rFonts w:ascii="Arial" w:cs="Arial" w:eastAsia="Arial" w:hAnsi="Arial"/>
                <w:sz w:val="18"/>
                <w:szCs w:val="18"/>
                <w:color w:val="auto"/>
              </w:rPr>
              <w:t>, 2023.</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45"/>
        </w:trPr>
        <w:tc>
          <w:tcPr>
            <w:tcW w:w="4460" w:type="dxa"/>
            <w:vAlign w:val="bottom"/>
          </w:tcPr>
          <w:p>
            <w:pPr>
              <w:spacing w:after="0"/>
              <w:rPr>
                <w:sz w:val="24"/>
                <w:szCs w:val="24"/>
                <w:color w:val="auto"/>
              </w:rPr>
            </w:pPr>
          </w:p>
        </w:tc>
        <w:tc>
          <w:tcPr>
            <w:tcW w:w="6560" w:type="dxa"/>
            <w:vAlign w:val="bottom"/>
            <w:gridSpan w:val="3"/>
          </w:tcPr>
          <w:p>
            <w:pPr>
              <w:ind w:left="2160"/>
              <w:spacing w:after="0"/>
              <w:rPr>
                <w:sz w:val="20"/>
                <w:szCs w:val="20"/>
                <w:color w:val="auto"/>
              </w:rPr>
            </w:pPr>
            <w:r>
              <w:rPr>
                <w:rFonts w:ascii="Arial" w:cs="Arial" w:eastAsia="Arial" w:hAnsi="Arial"/>
                <w:sz w:val="18"/>
                <w:szCs w:val="18"/>
                <w:b w:val="1"/>
                <w:bCs w:val="1"/>
                <w:color w:val="auto"/>
              </w:rPr>
              <w:t>ARM HOLDINGS LIMITED</w:t>
            </w:r>
          </w:p>
        </w:tc>
      </w:tr>
      <w:tr>
        <w:trPr>
          <w:trHeight w:val="432"/>
        </w:trPr>
        <w:tc>
          <w:tcPr>
            <w:tcW w:w="4460" w:type="dxa"/>
            <w:vAlign w:val="bottom"/>
          </w:tcPr>
          <w:p>
            <w:pPr>
              <w:spacing w:after="0"/>
              <w:rPr>
                <w:sz w:val="24"/>
                <w:szCs w:val="24"/>
                <w:color w:val="auto"/>
              </w:rPr>
            </w:pPr>
          </w:p>
        </w:tc>
        <w:tc>
          <w:tcPr>
            <w:tcW w:w="2860" w:type="dxa"/>
            <w:vAlign w:val="bottom"/>
          </w:tcPr>
          <w:p>
            <w:pPr>
              <w:ind w:left="21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r>
        <w:trPr>
          <w:trHeight w:val="209"/>
        </w:trPr>
        <w:tc>
          <w:tcPr>
            <w:tcW w:w="4460" w:type="dxa"/>
            <w:vAlign w:val="bottom"/>
          </w:tcPr>
          <w:p>
            <w:pPr>
              <w:spacing w:after="0"/>
              <w:rPr>
                <w:sz w:val="18"/>
                <w:szCs w:val="18"/>
                <w:color w:val="auto"/>
              </w:rPr>
            </w:pPr>
          </w:p>
        </w:tc>
        <w:tc>
          <w:tcPr>
            <w:tcW w:w="2860" w:type="dxa"/>
            <w:vAlign w:val="bottom"/>
          </w:tcPr>
          <w:p>
            <w:pPr>
              <w:ind w:left="2160"/>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Rene Haas</w:t>
            </w:r>
          </w:p>
        </w:tc>
      </w:tr>
      <w:tr>
        <w:trPr>
          <w:trHeight w:val="230"/>
        </w:trPr>
        <w:tc>
          <w:tcPr>
            <w:tcW w:w="4460" w:type="dxa"/>
            <w:vAlign w:val="bottom"/>
          </w:tcPr>
          <w:p>
            <w:pPr>
              <w:spacing w:after="0"/>
              <w:rPr>
                <w:sz w:val="20"/>
                <w:szCs w:val="20"/>
                <w:color w:val="auto"/>
              </w:rPr>
            </w:pPr>
          </w:p>
        </w:tc>
        <w:tc>
          <w:tcPr>
            <w:tcW w:w="2860" w:type="dxa"/>
            <w:vAlign w:val="bottom"/>
          </w:tcPr>
          <w:p>
            <w:pPr>
              <w:ind w:left="2160"/>
              <w:spacing w:after="0"/>
              <w:rPr>
                <w:sz w:val="20"/>
                <w:szCs w:val="20"/>
                <w:color w:val="auto"/>
              </w:rPr>
            </w:pPr>
            <w:r>
              <w:rPr>
                <w:rFonts w:ascii="Arial" w:cs="Arial" w:eastAsia="Arial" w:hAnsi="Arial"/>
                <w:sz w:val="18"/>
                <w:szCs w:val="18"/>
                <w:color w:val="auto"/>
              </w:rPr>
              <w:t>Title:</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Rene Haas and Jason Child, and each of them, his or her true and lawful agent, proxy and attorney-in-fact, with full power of substitution and resubstitution, for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6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Signature</w:t>
            </w:r>
          </w:p>
        </w:tc>
        <w:tc>
          <w:tcPr>
            <w:tcW w:w="120" w:type="dxa"/>
            <w:vAlign w:val="bottom"/>
          </w:tcPr>
          <w:p>
            <w:pPr>
              <w:spacing w:after="0"/>
              <w:rPr>
                <w:sz w:val="15"/>
                <w:szCs w:val="15"/>
                <w:color w:val="auto"/>
              </w:rPr>
            </w:pPr>
          </w:p>
        </w:tc>
        <w:tc>
          <w:tcPr>
            <w:tcW w:w="4520" w:type="dxa"/>
            <w:vAlign w:val="bottom"/>
            <w:tcBorders>
              <w:bottom w:val="single" w:sz="8" w:color="auto"/>
            </w:tcBorders>
          </w:tcPr>
          <w:p>
            <w:pPr>
              <w:ind w:left="2120"/>
              <w:spacing w:after="0"/>
              <w:rPr>
                <w:sz w:val="20"/>
                <w:szCs w:val="20"/>
                <w:color w:val="auto"/>
              </w:rPr>
            </w:pPr>
            <w:r>
              <w:rPr>
                <w:rFonts w:ascii="Arial" w:cs="Arial" w:eastAsia="Arial" w:hAnsi="Arial"/>
                <w:sz w:val="14"/>
                <w:szCs w:val="14"/>
                <w:color w:val="auto"/>
              </w:rPr>
              <w:t>Title</w:t>
            </w:r>
          </w:p>
        </w:tc>
        <w:tc>
          <w:tcPr>
            <w:tcW w:w="200" w:type="dxa"/>
            <w:vAlign w:val="bottom"/>
          </w:tcPr>
          <w:p>
            <w:pPr>
              <w:spacing w:after="0"/>
              <w:rPr>
                <w:sz w:val="15"/>
                <w:szCs w:val="15"/>
                <w:color w:val="auto"/>
              </w:rPr>
            </w:pPr>
          </w:p>
        </w:tc>
        <w:tc>
          <w:tcPr>
            <w:tcW w:w="254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412"/>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4"/>
              </w:rPr>
              <w:t>Rene Haas</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Jason Child</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Laura Bartels</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540" w:type="dxa"/>
            <w:vAlign w:val="bottom"/>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Masayoshi Son</w:t>
            </w:r>
          </w:p>
        </w:tc>
        <w:tc>
          <w:tcPr>
            <w:tcW w:w="1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vMerge w:val="restart"/>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1"/>
              </w:rPr>
              <w:t>Ronald D. Fisher</w:t>
            </w:r>
          </w:p>
        </w:tc>
        <w:tc>
          <w:tcPr>
            <w:tcW w:w="4840" w:type="dxa"/>
            <w:vAlign w:val="bottom"/>
            <w:gridSpan w:val="3"/>
            <w:vMerge w:val="continue"/>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540" w:type="dxa"/>
            <w:vAlign w:val="bottom"/>
            <w:vMerge w:val="restart"/>
          </w:tcPr>
          <w:p>
            <w:pPr>
              <w:jc w:val="right"/>
              <w:ind w:right="693"/>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2"/>
              </w:rPr>
              <w:t>Jeffrey A. Sine</w:t>
            </w:r>
          </w:p>
        </w:tc>
        <w:tc>
          <w:tcPr>
            <w:tcW w:w="4840" w:type="dxa"/>
            <w:vAlign w:val="bottom"/>
            <w:gridSpan w:val="3"/>
            <w:vMerge w:val="continue"/>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Pursuant to 17 C.F.R. Section 200.83</w:t>
      </w:r>
    </w:p>
    <w:p>
      <w:pPr>
        <w:spacing w:after="0" w:line="200" w:lineRule="exact"/>
        <w:rPr>
          <w:sz w:val="20"/>
          <w:szCs w:val="20"/>
          <w:color w:val="auto"/>
        </w:rPr>
      </w:pP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09"/>
        </w:trPr>
        <w:tc>
          <w:tcPr>
            <w:tcW w:w="3640" w:type="dxa"/>
            <w:vAlign w:val="bottom"/>
            <w:tcBorders>
              <w:bottom w:val="single" w:sz="8" w:color="auto"/>
            </w:tcBorders>
          </w:tcPr>
          <w:p>
            <w:pPr>
              <w:spacing w:after="0"/>
              <w:rPr>
                <w:sz w:val="9"/>
                <w:szCs w:val="9"/>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1"/>
              </w:rPr>
              <w:t>Karen E. Dykstra</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4"/>
              </w:rPr>
              <w:t>Anthony Michael Fadell</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8"/>
              </w:rPr>
              <w:t>Rosemary Schooler</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344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 2023</w:t>
            </w:r>
          </w:p>
        </w:tc>
        <w:tc>
          <w:tcPr>
            <w:tcW w:w="0" w:type="dxa"/>
            <w:vAlign w:val="bottom"/>
          </w:tcPr>
          <w:p>
            <w:pPr>
              <w:spacing w:after="0"/>
              <w:rPr>
                <w:sz w:val="1"/>
                <w:szCs w:val="1"/>
                <w:color w:val="auto"/>
              </w:rPr>
            </w:pPr>
          </w:p>
        </w:tc>
      </w:tr>
      <w:tr>
        <w:trPr>
          <w:trHeight w:val="102"/>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7"/>
              </w:rPr>
              <w:t>Paul E. Jacobs, PhD</w:t>
            </w:r>
          </w:p>
        </w:tc>
        <w:tc>
          <w:tcPr>
            <w:tcW w:w="3440" w:type="dxa"/>
            <w:vAlign w:val="bottom"/>
            <w:vMerge w:val="continue"/>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4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360"/>
          </w:cols>
          <w:pgMar w:left="320" w:top="459" w:right="121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Confidential Treatment Requested by Arm Holdings Limited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Securities Act of 1933, the undersigned, the duly authorized representative in the United States of Arm Holdings Limited has</w:t>
      </w:r>
    </w:p>
    <w:p>
      <w:pPr>
        <w:spacing w:after="0" w:line="46" w:lineRule="exact"/>
        <w:rPr>
          <w:sz w:val="20"/>
          <w:szCs w:val="20"/>
          <w:color w:val="auto"/>
        </w:rPr>
      </w:pPr>
    </w:p>
    <w:p>
      <w:pPr>
        <w:ind w:left="120"/>
        <w:spacing w:after="0"/>
        <w:tabs>
          <w:tab w:leader="none" w:pos="5120" w:val="left"/>
        </w:tabs>
        <w:rPr>
          <w:sz w:val="20"/>
          <w:szCs w:val="20"/>
          <w:color w:val="auto"/>
        </w:rPr>
      </w:pPr>
      <w:r>
        <w:rPr>
          <w:rFonts w:ascii="Arial" w:cs="Arial" w:eastAsia="Arial" w:hAnsi="Arial"/>
          <w:sz w:val="18"/>
          <w:szCs w:val="18"/>
          <w:color w:val="auto"/>
        </w:rPr>
        <w:t>signed this registration statement or amendment thereto on</w:t>
      </w:r>
      <w:r>
        <w:rPr>
          <w:sz w:val="20"/>
          <w:szCs w:val="20"/>
          <w:color w:val="auto"/>
        </w:rPr>
        <w:tab/>
      </w:r>
      <w:r>
        <w:rPr>
          <w:rFonts w:ascii="Arial" w:cs="Arial" w:eastAsia="Arial" w:hAnsi="Arial"/>
          <w:sz w:val="16"/>
          <w:szCs w:val="16"/>
          <w:color w:val="auto"/>
        </w:rPr>
        <w:t>, 2023.</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ARM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0656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700"/>
          </w:cols>
          <w:pgMar w:left="320" w:top="459" w:right="87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Dated 24 April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ARM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and -</w:t>
      </w:r>
    </w:p>
    <w:p>
      <w:pPr>
        <w:spacing w:after="0" w:line="22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ARM TECHNOLOGY (CHINA) CO. LTD (</w:t>
      </w:r>
      <w:r>
        <w:rPr>
          <w:rFonts w:ascii="SimSun" w:cs="SimSun" w:eastAsia="SimSun" w:hAnsi="SimSun"/>
          <w:sz w:val="16"/>
          <w:szCs w:val="16"/>
          <w:b w:val="1"/>
          <w:bCs w:val="1"/>
          <w:color w:val="auto"/>
        </w:rPr>
        <w:t>安谋科技（中国）有限公司</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240030</wp:posOffset>
            </wp:positionV>
            <wp:extent cx="1474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ARM IP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248920</wp:posOffset>
            </wp:positionV>
            <wp:extent cx="1474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00"/>
          </w:cols>
          <w:pgMar w:left="460" w:top="121" w:right="4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34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34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340" w:type="dxa"/>
            <w:vAlign w:val="bottom"/>
          </w:tcPr>
          <w:p>
            <w:pPr>
              <w:ind w:left="40"/>
              <w:spacing w:after="0"/>
              <w:rPr>
                <w:sz w:val="20"/>
                <w:szCs w:val="20"/>
                <w:color w:val="auto"/>
              </w:rPr>
            </w:pPr>
            <w:r>
              <w:rPr>
                <w:rFonts w:ascii="Arial" w:cs="Arial" w:eastAsia="Arial" w:hAnsi="Arial"/>
                <w:sz w:val="18"/>
                <w:szCs w:val="18"/>
                <w:color w:val="auto"/>
              </w:rPr>
              <w:t>EXCLUSIVITY OF CERTAIN LICENSE GRANTS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340" w:type="dxa"/>
            <w:vAlign w:val="bottom"/>
          </w:tcPr>
          <w:p>
            <w:pPr>
              <w:ind w:left="40"/>
              <w:spacing w:after="0"/>
              <w:rPr>
                <w:sz w:val="20"/>
                <w:szCs w:val="20"/>
                <w:color w:val="auto"/>
              </w:rPr>
            </w:pPr>
            <w:r>
              <w:rPr>
                <w:rFonts w:ascii="Arial" w:cs="Arial" w:eastAsia="Arial" w:hAnsi="Arial"/>
                <w:sz w:val="18"/>
                <w:szCs w:val="18"/>
                <w:color w:val="auto"/>
              </w:rPr>
              <w:t>GRANT OF LICENSES TO JVCO</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340" w:type="dxa"/>
            <w:vAlign w:val="bottom"/>
          </w:tcPr>
          <w:p>
            <w:pPr>
              <w:ind w:left="40"/>
              <w:spacing w:after="0"/>
              <w:rPr>
                <w:sz w:val="20"/>
                <w:szCs w:val="20"/>
                <w:color w:val="auto"/>
              </w:rPr>
            </w:pPr>
            <w:r>
              <w:rPr>
                <w:rFonts w:ascii="Arial" w:cs="Arial" w:eastAsia="Arial" w:hAnsi="Arial"/>
                <w:sz w:val="18"/>
                <w:szCs w:val="18"/>
                <w:color w:val="auto"/>
              </w:rPr>
              <w:t>SUB-LICENSING</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340" w:type="dxa"/>
            <w:vAlign w:val="bottom"/>
          </w:tcPr>
          <w:p>
            <w:pPr>
              <w:ind w:left="40"/>
              <w:spacing w:after="0"/>
              <w:rPr>
                <w:sz w:val="20"/>
                <w:szCs w:val="20"/>
                <w:color w:val="auto"/>
              </w:rPr>
            </w:pPr>
            <w:r>
              <w:rPr>
                <w:rFonts w:ascii="Arial" w:cs="Arial" w:eastAsia="Arial" w:hAnsi="Arial"/>
                <w:sz w:val="18"/>
                <w:szCs w:val="18"/>
                <w:color w:val="auto"/>
              </w:rPr>
              <w:t>COSTS OF IN-LICENSED OR CO-OWNED INTELLECTUAL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340" w:type="dxa"/>
            <w:vAlign w:val="bottom"/>
          </w:tcPr>
          <w:p>
            <w:pPr>
              <w:ind w:left="40"/>
              <w:spacing w:after="0"/>
              <w:rPr>
                <w:sz w:val="20"/>
                <w:szCs w:val="20"/>
                <w:color w:val="auto"/>
              </w:rPr>
            </w:pPr>
            <w:r>
              <w:rPr>
                <w:rFonts w:ascii="Arial" w:cs="Arial" w:eastAsia="Arial" w:hAnsi="Arial"/>
                <w:sz w:val="18"/>
                <w:szCs w:val="18"/>
                <w:color w:val="auto"/>
              </w:rPr>
              <w:t>RESTRICTIONS ON JVCO</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340" w:type="dxa"/>
            <w:vAlign w:val="bottom"/>
          </w:tcPr>
          <w:p>
            <w:pPr>
              <w:ind w:left="40"/>
              <w:spacing w:after="0"/>
              <w:rPr>
                <w:sz w:val="20"/>
                <w:szCs w:val="20"/>
                <w:color w:val="auto"/>
              </w:rPr>
            </w:pPr>
            <w:r>
              <w:rPr>
                <w:rFonts w:ascii="Arial" w:cs="Arial" w:eastAsia="Arial" w:hAnsi="Arial"/>
                <w:sz w:val="18"/>
                <w:szCs w:val="18"/>
                <w:color w:val="auto"/>
              </w:rPr>
              <w:t>SCOPE OF JVCO EXCLUSIVE LICENSING CHANNEL</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340" w:type="dxa"/>
            <w:vAlign w:val="bottom"/>
          </w:tcPr>
          <w:p>
            <w:pPr>
              <w:ind w:left="40"/>
              <w:spacing w:after="0"/>
              <w:rPr>
                <w:sz w:val="20"/>
                <w:szCs w:val="20"/>
                <w:color w:val="auto"/>
              </w:rPr>
            </w:pPr>
            <w:r>
              <w:rPr>
                <w:rFonts w:ascii="Arial" w:cs="Arial" w:eastAsia="Arial" w:hAnsi="Arial"/>
                <w:sz w:val="18"/>
                <w:szCs w:val="18"/>
                <w:color w:val="auto"/>
              </w:rPr>
              <w:t>EXPORT CONTROL AND RELATED RESTRICTIONS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340" w:type="dxa"/>
            <w:vAlign w:val="bottom"/>
          </w:tcPr>
          <w:p>
            <w:pPr>
              <w:ind w:left="40"/>
              <w:spacing w:after="0"/>
              <w:rPr>
                <w:sz w:val="20"/>
                <w:szCs w:val="20"/>
                <w:color w:val="auto"/>
              </w:rPr>
            </w:pPr>
            <w:r>
              <w:rPr>
                <w:rFonts w:ascii="Arial" w:cs="Arial" w:eastAsia="Arial" w:hAnsi="Arial"/>
                <w:sz w:val="18"/>
                <w:szCs w:val="18"/>
                <w:color w:val="auto"/>
              </w:rPr>
              <w:t>USE OF ARM BRAND TRADE MARKS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340" w:type="dxa"/>
            <w:vAlign w:val="bottom"/>
          </w:tcPr>
          <w:p>
            <w:pPr>
              <w:ind w:left="40"/>
              <w:spacing w:after="0"/>
              <w:rPr>
                <w:sz w:val="20"/>
                <w:szCs w:val="20"/>
                <w:color w:val="auto"/>
              </w:rPr>
            </w:pPr>
            <w:r>
              <w:rPr>
                <w:rFonts w:ascii="Arial" w:cs="Arial" w:eastAsia="Arial" w:hAnsi="Arial"/>
                <w:sz w:val="18"/>
                <w:szCs w:val="18"/>
                <w:color w:val="auto"/>
              </w:rPr>
              <w:t>INTELLECTUAL PROPERTY 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340" w:type="dxa"/>
            <w:vAlign w:val="bottom"/>
          </w:tcPr>
          <w:p>
            <w:pPr>
              <w:ind w:left="40"/>
              <w:spacing w:after="0"/>
              <w:rPr>
                <w:sz w:val="20"/>
                <w:szCs w:val="20"/>
                <w:color w:val="auto"/>
              </w:rPr>
            </w:pPr>
            <w:r>
              <w:rPr>
                <w:rFonts w:ascii="Arial" w:cs="Arial" w:eastAsia="Arial" w:hAnsi="Arial"/>
                <w:sz w:val="18"/>
                <w:szCs w:val="18"/>
                <w:color w:val="auto"/>
              </w:rPr>
              <w:t>NON-ASSERT</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340" w:type="dxa"/>
            <w:vAlign w:val="bottom"/>
          </w:tcPr>
          <w:p>
            <w:pPr>
              <w:ind w:left="40"/>
              <w:spacing w:after="0"/>
              <w:rPr>
                <w:sz w:val="20"/>
                <w:szCs w:val="20"/>
                <w:color w:val="auto"/>
              </w:rPr>
            </w:pPr>
            <w:r>
              <w:rPr>
                <w:rFonts w:ascii="Arial" w:cs="Arial" w:eastAsia="Arial" w:hAnsi="Arial"/>
                <w:sz w:val="18"/>
                <w:szCs w:val="18"/>
                <w:color w:val="auto"/>
              </w:rPr>
              <w:t>OWNERSHIP OF FOREGROUND IP</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340" w:type="dxa"/>
            <w:vAlign w:val="bottom"/>
          </w:tcPr>
          <w:p>
            <w:pPr>
              <w:ind w:left="40"/>
              <w:spacing w:after="0"/>
              <w:rPr>
                <w:sz w:val="20"/>
                <w:szCs w:val="20"/>
                <w:color w:val="auto"/>
              </w:rPr>
            </w:pPr>
            <w:r>
              <w:rPr>
                <w:rFonts w:ascii="Arial" w:cs="Arial" w:eastAsia="Arial" w:hAnsi="Arial"/>
                <w:sz w:val="18"/>
                <w:szCs w:val="18"/>
                <w:color w:val="auto"/>
              </w:rPr>
              <w:t>LICENSE OF JVCO LICENSED IP</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340" w:type="dxa"/>
            <w:vAlign w:val="bottom"/>
          </w:tcPr>
          <w:p>
            <w:pPr>
              <w:ind w:left="40"/>
              <w:spacing w:after="0"/>
              <w:rPr>
                <w:sz w:val="20"/>
                <w:szCs w:val="20"/>
                <w:color w:val="auto"/>
              </w:rPr>
            </w:pPr>
            <w:r>
              <w:rPr>
                <w:rFonts w:ascii="Arial" w:cs="Arial" w:eastAsia="Arial" w:hAnsi="Arial"/>
                <w:sz w:val="18"/>
                <w:szCs w:val="18"/>
                <w:color w:val="auto"/>
              </w:rPr>
              <w:t>LIMITATIONS TO THE JVCO LICENSED IP LICENSES</w:t>
            </w: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8340" w:type="dxa"/>
            <w:vAlign w:val="bottom"/>
          </w:tcPr>
          <w:p>
            <w:pPr>
              <w:ind w:left="40"/>
              <w:spacing w:after="0"/>
              <w:rPr>
                <w:sz w:val="20"/>
                <w:szCs w:val="20"/>
                <w:color w:val="auto"/>
              </w:rPr>
            </w:pPr>
            <w:r>
              <w:rPr>
                <w:rFonts w:ascii="Arial" w:cs="Arial" w:eastAsia="Arial" w:hAnsi="Arial"/>
                <w:sz w:val="18"/>
                <w:szCs w:val="18"/>
                <w:color w:val="auto"/>
              </w:rPr>
              <w:t>ARM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8340" w:type="dxa"/>
            <w:vAlign w:val="bottom"/>
          </w:tcPr>
          <w:p>
            <w:pPr>
              <w:ind w:left="40"/>
              <w:spacing w:after="0"/>
              <w:rPr>
                <w:sz w:val="20"/>
                <w:szCs w:val="20"/>
                <w:color w:val="auto"/>
              </w:rPr>
            </w:pPr>
            <w:r>
              <w:rPr>
                <w:rFonts w:ascii="Arial" w:cs="Arial" w:eastAsia="Arial" w:hAnsi="Arial"/>
                <w:sz w:val="18"/>
                <w:szCs w:val="18"/>
                <w:color w:val="auto"/>
              </w:rPr>
              <w:t>ARM 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8340" w:type="dxa"/>
            <w:vAlign w:val="bottom"/>
          </w:tcPr>
          <w:p>
            <w:pPr>
              <w:ind w:left="40"/>
              <w:spacing w:after="0"/>
              <w:rPr>
                <w:sz w:val="20"/>
                <w:szCs w:val="20"/>
                <w:color w:val="auto"/>
              </w:rPr>
            </w:pPr>
            <w:r>
              <w:rPr>
                <w:rFonts w:ascii="Arial" w:cs="Arial" w:eastAsia="Arial" w:hAnsi="Arial"/>
                <w:sz w:val="18"/>
                <w:szCs w:val="18"/>
                <w:color w:val="auto"/>
              </w:rPr>
              <w:t>JVCO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8340" w:type="dxa"/>
            <w:vAlign w:val="bottom"/>
          </w:tcPr>
          <w:p>
            <w:pPr>
              <w:ind w:left="40"/>
              <w:spacing w:after="0"/>
              <w:rPr>
                <w:sz w:val="20"/>
                <w:szCs w:val="20"/>
                <w:color w:val="auto"/>
              </w:rPr>
            </w:pPr>
            <w:r>
              <w:rPr>
                <w:rFonts w:ascii="Arial" w:cs="Arial" w:eastAsia="Arial" w:hAnsi="Arial"/>
                <w:sz w:val="18"/>
                <w:szCs w:val="18"/>
                <w:color w:val="auto"/>
              </w:rPr>
              <w:t>JVCO 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8340" w:type="dxa"/>
            <w:vAlign w:val="bottom"/>
          </w:tcPr>
          <w:p>
            <w:pPr>
              <w:ind w:left="40"/>
              <w:spacing w:after="0"/>
              <w:rPr>
                <w:sz w:val="20"/>
                <w:szCs w:val="20"/>
                <w:color w:val="auto"/>
              </w:rPr>
            </w:pPr>
            <w:r>
              <w:rPr>
                <w:rFonts w:ascii="Arial" w:cs="Arial" w:eastAsia="Arial" w:hAnsi="Arial"/>
                <w:sz w:val="18"/>
                <w:szCs w:val="18"/>
                <w:color w:val="auto"/>
              </w:rPr>
              <w:t>CHANGES TO MODEL LICENSES</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834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8340" w:type="dxa"/>
            <w:vAlign w:val="bottom"/>
          </w:tcPr>
          <w:p>
            <w:pPr>
              <w:ind w:left="40"/>
              <w:spacing w:after="0"/>
              <w:rPr>
                <w:sz w:val="20"/>
                <w:szCs w:val="20"/>
                <w:color w:val="auto"/>
              </w:rPr>
            </w:pPr>
            <w:r>
              <w:rPr>
                <w:rFonts w:ascii="Arial" w:cs="Arial" w:eastAsia="Arial" w:hAnsi="Arial"/>
                <w:sz w:val="18"/>
                <w:szCs w:val="18"/>
                <w:color w:val="auto"/>
              </w:rPr>
              <w:t>PROSECUTION AND MAINTENANCE</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8340" w:type="dxa"/>
            <w:vAlign w:val="bottom"/>
          </w:tcPr>
          <w:p>
            <w:pPr>
              <w:ind w:left="40"/>
              <w:spacing w:after="0"/>
              <w:rPr>
                <w:sz w:val="20"/>
                <w:szCs w:val="20"/>
                <w:color w:val="auto"/>
              </w:rPr>
            </w:pPr>
            <w:r>
              <w:rPr>
                <w:rFonts w:ascii="Arial" w:cs="Arial" w:eastAsia="Arial" w:hAnsi="Arial"/>
                <w:sz w:val="18"/>
                <w:szCs w:val="18"/>
                <w:color w:val="auto"/>
              </w:rPr>
              <w:t>INFRINGEMENT AND INVALIDITY CLAIMS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8340" w:type="dxa"/>
            <w:vAlign w:val="bottom"/>
          </w:tcPr>
          <w:p>
            <w:pPr>
              <w:ind w:left="40"/>
              <w:spacing w:after="0"/>
              <w:rPr>
                <w:sz w:val="20"/>
                <w:szCs w:val="20"/>
                <w:color w:val="auto"/>
              </w:rPr>
            </w:pPr>
            <w:r>
              <w:rPr>
                <w:rFonts w:ascii="Arial" w:cs="Arial" w:eastAsia="Arial" w:hAnsi="Arial"/>
                <w:sz w:val="18"/>
                <w:szCs w:val="18"/>
                <w:color w:val="auto"/>
              </w:rPr>
              <w:t>PAYMENT OBLIGATIONS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64"/>
        </w:trPr>
        <w:tc>
          <w:tcPr>
            <w:tcW w:w="280" w:type="dxa"/>
            <w:vAlign w:val="bottom"/>
          </w:tcPr>
          <w:p>
            <w:pPr>
              <w:spacing w:after="0"/>
              <w:rPr>
                <w:sz w:val="24"/>
                <w:szCs w:val="24"/>
                <w:color w:val="auto"/>
              </w:rPr>
            </w:pPr>
          </w:p>
        </w:tc>
        <w:tc>
          <w:tcPr>
            <w:tcW w:w="8340" w:type="dxa"/>
            <w:vAlign w:val="bottom"/>
          </w:tcPr>
          <w:p>
            <w:pPr>
              <w:ind w:left="5180"/>
              <w:spacing w:after="0"/>
              <w:rPr>
                <w:sz w:val="20"/>
                <w:szCs w:val="20"/>
                <w:color w:val="auto"/>
              </w:rPr>
            </w:pPr>
            <w:r>
              <w:rPr>
                <w:rFonts w:ascii="Arial" w:cs="Arial" w:eastAsia="Arial" w:hAnsi="Arial"/>
                <w:sz w:val="18"/>
                <w:szCs w:val="18"/>
                <w:color w:val="auto"/>
              </w:rPr>
              <w:t>2</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2" w:name="page293"/>
    <w:bookmarkEnd w:id="292"/>
    <w:tbl>
      <w:tblPr>
        <w:tblLayout w:type="fixed"/>
        <w:tblInd w:w="0" w:type="dxa"/>
        <w:tblCellMar>
          <w:top w:w="0" w:type="dxa"/>
          <w:left w:w="0" w:type="dxa"/>
          <w:bottom w:w="0" w:type="dxa"/>
          <w:right w:w="0" w:type="dxa"/>
        </w:tblCellMar>
      </w:tblPr>
      <w:tr>
        <w:trPr>
          <w:trHeight w:val="230"/>
        </w:trPr>
        <w:tc>
          <w:tcPr>
            <w:tcW w:w="280" w:type="dxa"/>
            <w:vAlign w:val="bottom"/>
          </w:tcPr>
          <w:p>
            <w:pPr>
              <w:jc w:val="right"/>
              <w:spacing w:after="0"/>
              <w:rPr>
                <w:sz w:val="20"/>
                <w:szCs w:val="20"/>
                <w:color w:val="auto"/>
              </w:rPr>
            </w:pPr>
            <w:r>
              <w:rPr>
                <w:rFonts w:ascii="Arial" w:cs="Arial" w:eastAsia="Arial" w:hAnsi="Arial"/>
                <w:sz w:val="18"/>
                <w:szCs w:val="18"/>
                <w:color w:val="auto"/>
                <w:w w:val="79"/>
              </w:rPr>
              <w:t>24.</w:t>
            </w:r>
          </w:p>
        </w:tc>
        <w:tc>
          <w:tcPr>
            <w:tcW w:w="8480" w:type="dxa"/>
            <w:vAlign w:val="bottom"/>
          </w:tcPr>
          <w:p>
            <w:pPr>
              <w:ind w:left="40"/>
              <w:spacing w:after="0"/>
              <w:rPr>
                <w:sz w:val="20"/>
                <w:szCs w:val="20"/>
                <w:color w:val="auto"/>
              </w:rPr>
            </w:pPr>
            <w:r>
              <w:rPr>
                <w:rFonts w:ascii="Arial" w:cs="Arial" w:eastAsia="Arial" w:hAnsi="Arial"/>
                <w:sz w:val="18"/>
                <w:szCs w:val="18"/>
                <w:color w:val="auto"/>
              </w:rPr>
              <w:t>REPORTS AND RECORDS RELATING TO PAYMENTS</w:t>
            </w:r>
          </w:p>
        </w:tc>
        <w:tc>
          <w:tcPr>
            <w:tcW w:w="2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25.</w:t>
            </w:r>
          </w:p>
        </w:tc>
        <w:tc>
          <w:tcPr>
            <w:tcW w:w="8480" w:type="dxa"/>
            <w:vAlign w:val="bottom"/>
          </w:tcPr>
          <w:p>
            <w:pPr>
              <w:ind w:left="40"/>
              <w:spacing w:after="0"/>
              <w:rPr>
                <w:sz w:val="20"/>
                <w:szCs w:val="20"/>
                <w:color w:val="auto"/>
              </w:rPr>
            </w:pPr>
            <w:r>
              <w:rPr>
                <w:rFonts w:ascii="Arial" w:cs="Arial" w:eastAsia="Arial" w:hAnsi="Arial"/>
                <w:sz w:val="18"/>
                <w:szCs w:val="18"/>
                <w:color w:val="auto"/>
              </w:rPr>
              <w:t>FINANCIAL AUDIT</w:t>
            </w:r>
          </w:p>
        </w:tc>
        <w:tc>
          <w:tcPr>
            <w:tcW w:w="2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26.</w:t>
            </w:r>
          </w:p>
        </w:tc>
        <w:tc>
          <w:tcPr>
            <w:tcW w:w="8480" w:type="dxa"/>
            <w:vAlign w:val="bottom"/>
          </w:tcPr>
          <w:p>
            <w:pPr>
              <w:ind w:left="40"/>
              <w:spacing w:after="0"/>
              <w:rPr>
                <w:sz w:val="20"/>
                <w:szCs w:val="20"/>
                <w:color w:val="auto"/>
              </w:rPr>
            </w:pPr>
            <w:r>
              <w:rPr>
                <w:rFonts w:ascii="Arial" w:cs="Arial" w:eastAsia="Arial" w:hAnsi="Arial"/>
                <w:sz w:val="18"/>
                <w:szCs w:val="18"/>
                <w:color w:val="auto"/>
              </w:rPr>
              <w:t>PAYMENT DISPUTES AND PAYMENT TERMS</w:t>
            </w:r>
          </w:p>
        </w:tc>
        <w:tc>
          <w:tcPr>
            <w:tcW w:w="2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27.</w:t>
            </w:r>
          </w:p>
        </w:tc>
        <w:tc>
          <w:tcPr>
            <w:tcW w:w="8480" w:type="dxa"/>
            <w:vAlign w:val="bottom"/>
          </w:tcPr>
          <w:p>
            <w:pPr>
              <w:ind w:left="40"/>
              <w:spacing w:after="0"/>
              <w:rPr>
                <w:sz w:val="20"/>
                <w:szCs w:val="20"/>
                <w:color w:val="auto"/>
              </w:rPr>
            </w:pPr>
            <w:r>
              <w:rPr>
                <w:rFonts w:ascii="Arial" w:cs="Arial" w:eastAsia="Arial" w:hAnsi="Arial"/>
                <w:sz w:val="18"/>
                <w:szCs w:val="18"/>
                <w:color w:val="auto"/>
              </w:rPr>
              <w:t>TERM</w:t>
            </w:r>
          </w:p>
        </w:tc>
        <w:tc>
          <w:tcPr>
            <w:tcW w:w="2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91"/>
        </w:trPr>
        <w:tc>
          <w:tcPr>
            <w:tcW w:w="28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8480" w:type="dxa"/>
            <w:vAlign w:val="bottom"/>
          </w:tcPr>
          <w:p>
            <w:pPr>
              <w:ind w:left="40"/>
              <w:spacing w:after="0"/>
              <w:rPr>
                <w:sz w:val="20"/>
                <w:szCs w:val="20"/>
                <w:color w:val="auto"/>
              </w:rPr>
            </w:pPr>
            <w:r>
              <w:rPr>
                <w:rFonts w:ascii="Arial" w:cs="Arial" w:eastAsia="Arial" w:hAnsi="Arial"/>
                <w:sz w:val="18"/>
                <w:szCs w:val="18"/>
                <w:color w:val="auto"/>
              </w:rPr>
              <w:t>SUSPENSION AND TERMINATION RIGHTS</w:t>
            </w:r>
          </w:p>
        </w:tc>
        <w:tc>
          <w:tcPr>
            <w:tcW w:w="2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29.</w:t>
            </w:r>
          </w:p>
        </w:tc>
        <w:tc>
          <w:tcPr>
            <w:tcW w:w="8480" w:type="dxa"/>
            <w:vAlign w:val="bottom"/>
          </w:tcPr>
          <w:p>
            <w:pPr>
              <w:ind w:left="40"/>
              <w:spacing w:after="0"/>
              <w:rPr>
                <w:sz w:val="20"/>
                <w:szCs w:val="20"/>
                <w:color w:val="auto"/>
              </w:rPr>
            </w:pPr>
            <w:r>
              <w:rPr>
                <w:rFonts w:ascii="Arial" w:cs="Arial" w:eastAsia="Arial" w:hAnsi="Arial"/>
                <w:sz w:val="18"/>
                <w:szCs w:val="18"/>
                <w:color w:val="auto"/>
              </w:rPr>
              <w:t>MATERIAL BREACH ESCALATION PROCESS</w:t>
            </w:r>
          </w:p>
        </w:tc>
        <w:tc>
          <w:tcPr>
            <w:tcW w:w="2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30.</w:t>
            </w:r>
          </w:p>
        </w:tc>
        <w:tc>
          <w:tcPr>
            <w:tcW w:w="8480" w:type="dxa"/>
            <w:vAlign w:val="bottom"/>
          </w:tcPr>
          <w:p>
            <w:pPr>
              <w:ind w:left="40"/>
              <w:spacing w:after="0"/>
              <w:rPr>
                <w:sz w:val="20"/>
                <w:szCs w:val="20"/>
                <w:color w:val="auto"/>
              </w:rPr>
            </w:pPr>
            <w:r>
              <w:rPr>
                <w:rFonts w:ascii="Arial" w:cs="Arial" w:eastAsia="Arial" w:hAnsi="Arial"/>
                <w:sz w:val="18"/>
                <w:szCs w:val="18"/>
                <w:color w:val="auto"/>
              </w:rPr>
              <w:t>EFFECTS OF SUSPENSION OR TERMINATION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8480" w:type="dxa"/>
            <w:vAlign w:val="bottom"/>
          </w:tcPr>
          <w:p>
            <w:pPr>
              <w:ind w:left="40"/>
              <w:spacing w:after="0"/>
              <w:rPr>
                <w:sz w:val="20"/>
                <w:szCs w:val="20"/>
                <w:color w:val="auto"/>
              </w:rPr>
            </w:pPr>
            <w:r>
              <w:rPr>
                <w:rFonts w:ascii="Arial" w:cs="Arial" w:eastAsia="Arial" w:hAnsi="Arial"/>
                <w:sz w:val="18"/>
                <w:szCs w:val="18"/>
                <w:color w:val="auto"/>
              </w:rPr>
              <w:t>ADJUDICATION OF LICENSEES</w:t>
            </w:r>
          </w:p>
        </w:tc>
        <w:tc>
          <w:tcPr>
            <w:tcW w:w="2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91"/>
        </w:trPr>
        <w:tc>
          <w:tcPr>
            <w:tcW w:w="28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8480" w:type="dxa"/>
            <w:vAlign w:val="bottom"/>
          </w:tcPr>
          <w:p>
            <w:pPr>
              <w:ind w:left="40"/>
              <w:spacing w:after="0"/>
              <w:rPr>
                <w:sz w:val="20"/>
                <w:szCs w:val="20"/>
                <w:color w:val="auto"/>
              </w:rPr>
            </w:pPr>
            <w:r>
              <w:rPr>
                <w:rFonts w:ascii="Arial" w:cs="Arial" w:eastAsia="Arial" w:hAnsi="Arial"/>
                <w:sz w:val="18"/>
                <w:szCs w:val="18"/>
                <w:color w:val="auto"/>
              </w:rPr>
              <w:t>RECLASSIFICATION OF LICENSEES AND ACQUISITONS</w:t>
            </w:r>
          </w:p>
        </w:tc>
        <w:tc>
          <w:tcPr>
            <w:tcW w:w="2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8480" w:type="dxa"/>
            <w:vAlign w:val="bottom"/>
          </w:tcPr>
          <w:p>
            <w:pPr>
              <w:ind w:left="40"/>
              <w:spacing w:after="0"/>
              <w:rPr>
                <w:sz w:val="20"/>
                <w:szCs w:val="20"/>
                <w:color w:val="auto"/>
              </w:rPr>
            </w:pPr>
            <w:r>
              <w:rPr>
                <w:rFonts w:ascii="Arial" w:cs="Arial" w:eastAsia="Arial" w:hAnsi="Arial"/>
                <w:sz w:val="18"/>
                <w:szCs w:val="18"/>
                <w:color w:val="auto"/>
              </w:rPr>
              <w:t>NOVATING AGREEMENTS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8480" w:type="dxa"/>
            <w:vAlign w:val="bottom"/>
          </w:tcPr>
          <w:p>
            <w:pPr>
              <w:ind w:left="40"/>
              <w:spacing w:after="0"/>
              <w:rPr>
                <w:sz w:val="20"/>
                <w:szCs w:val="20"/>
                <w:color w:val="auto"/>
              </w:rPr>
            </w:pPr>
            <w:r>
              <w:rPr>
                <w:rFonts w:ascii="Arial" w:cs="Arial" w:eastAsia="Arial" w:hAnsi="Arial"/>
                <w:sz w:val="18"/>
                <w:szCs w:val="18"/>
                <w:color w:val="auto"/>
              </w:rPr>
              <w:t>AUDIT</w:t>
            </w:r>
          </w:p>
        </w:tc>
        <w:tc>
          <w:tcPr>
            <w:tcW w:w="22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35.</w:t>
            </w:r>
          </w:p>
        </w:tc>
        <w:tc>
          <w:tcPr>
            <w:tcW w:w="848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2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91"/>
        </w:trPr>
        <w:tc>
          <w:tcPr>
            <w:tcW w:w="28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8480" w:type="dxa"/>
            <w:vAlign w:val="bottom"/>
          </w:tcPr>
          <w:p>
            <w:pPr>
              <w:ind w:left="40"/>
              <w:spacing w:after="0"/>
              <w:rPr>
                <w:sz w:val="20"/>
                <w:szCs w:val="20"/>
                <w:color w:val="auto"/>
              </w:rPr>
            </w:pPr>
            <w:r>
              <w:rPr>
                <w:rFonts w:ascii="Arial" w:cs="Arial" w:eastAsia="Arial" w:hAnsi="Arial"/>
                <w:sz w:val="18"/>
                <w:szCs w:val="18"/>
                <w:color w:val="auto"/>
              </w:rPr>
              <w:t>ANTI-CORRUPTION</w:t>
            </w:r>
          </w:p>
        </w:tc>
        <w:tc>
          <w:tcPr>
            <w:tcW w:w="22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37.</w:t>
            </w:r>
          </w:p>
        </w:tc>
        <w:tc>
          <w:tcPr>
            <w:tcW w:w="8480" w:type="dxa"/>
            <w:vAlign w:val="bottom"/>
          </w:tcPr>
          <w:p>
            <w:pPr>
              <w:ind w:left="40"/>
              <w:spacing w:after="0"/>
              <w:rPr>
                <w:sz w:val="20"/>
                <w:szCs w:val="20"/>
                <w:color w:val="auto"/>
              </w:rPr>
            </w:pPr>
            <w:r>
              <w:rPr>
                <w:rFonts w:ascii="Arial" w:cs="Arial" w:eastAsia="Arial" w:hAnsi="Arial"/>
                <w:sz w:val="18"/>
                <w:szCs w:val="18"/>
                <w:color w:val="auto"/>
              </w:rPr>
              <w:t>IP COMMITTEE</w:t>
            </w:r>
          </w:p>
        </w:tc>
        <w:tc>
          <w:tcPr>
            <w:tcW w:w="22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8480" w:type="dxa"/>
            <w:vAlign w:val="bottom"/>
          </w:tcPr>
          <w:p>
            <w:pPr>
              <w:ind w:left="40"/>
              <w:spacing w:after="0"/>
              <w:rPr>
                <w:sz w:val="20"/>
                <w:szCs w:val="20"/>
                <w:color w:val="auto"/>
              </w:rPr>
            </w:pPr>
            <w:r>
              <w:rPr>
                <w:rFonts w:ascii="Arial" w:cs="Arial" w:eastAsia="Arial" w:hAnsi="Arial"/>
                <w:sz w:val="18"/>
                <w:szCs w:val="18"/>
                <w:color w:val="auto"/>
              </w:rPr>
              <w:t>MUTUAL ROADMAP, ROADMAP COMMITTEE AND PRODUCT DEVELOPMENT</w:t>
            </w:r>
          </w:p>
        </w:tc>
        <w:tc>
          <w:tcPr>
            <w:tcW w:w="22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39.</w:t>
            </w:r>
          </w:p>
        </w:tc>
        <w:tc>
          <w:tcPr>
            <w:tcW w:w="8480" w:type="dxa"/>
            <w:vAlign w:val="bottom"/>
          </w:tcPr>
          <w:p>
            <w:pPr>
              <w:ind w:left="40"/>
              <w:spacing w:after="0"/>
              <w:rPr>
                <w:sz w:val="20"/>
                <w:szCs w:val="20"/>
                <w:color w:val="auto"/>
              </w:rPr>
            </w:pPr>
            <w:r>
              <w:rPr>
                <w:rFonts w:ascii="Arial" w:cs="Arial" w:eastAsia="Arial" w:hAnsi="Arial"/>
                <w:sz w:val="18"/>
                <w:szCs w:val="18"/>
                <w:color w:val="auto"/>
              </w:rPr>
              <w:t>EFFECTIVENESS</w:t>
            </w:r>
          </w:p>
        </w:tc>
        <w:tc>
          <w:tcPr>
            <w:tcW w:w="2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91"/>
        </w:trPr>
        <w:tc>
          <w:tcPr>
            <w:tcW w:w="280" w:type="dxa"/>
            <w:vAlign w:val="bottom"/>
          </w:tcPr>
          <w:p>
            <w:pPr>
              <w:jc w:val="right"/>
              <w:spacing w:after="0"/>
              <w:rPr>
                <w:sz w:val="20"/>
                <w:szCs w:val="20"/>
                <w:color w:val="auto"/>
              </w:rPr>
            </w:pPr>
            <w:r>
              <w:rPr>
                <w:rFonts w:ascii="Arial" w:cs="Arial" w:eastAsia="Arial" w:hAnsi="Arial"/>
                <w:sz w:val="18"/>
                <w:szCs w:val="18"/>
                <w:color w:val="auto"/>
                <w:w w:val="79"/>
              </w:rPr>
              <w:t>40.</w:t>
            </w:r>
          </w:p>
        </w:tc>
        <w:tc>
          <w:tcPr>
            <w:tcW w:w="8480" w:type="dxa"/>
            <w:vAlign w:val="bottom"/>
          </w:tcPr>
          <w:p>
            <w:pPr>
              <w:ind w:left="40"/>
              <w:spacing w:after="0"/>
              <w:rPr>
                <w:sz w:val="20"/>
                <w:szCs w:val="20"/>
                <w:color w:val="auto"/>
              </w:rPr>
            </w:pPr>
            <w:r>
              <w:rPr>
                <w:rFonts w:ascii="Arial" w:cs="Arial" w:eastAsia="Arial" w:hAnsi="Arial"/>
                <w:sz w:val="18"/>
                <w:szCs w:val="18"/>
                <w:color w:val="auto"/>
              </w:rPr>
              <w:t>DISPUTE RESOLUTION</w:t>
            </w:r>
          </w:p>
        </w:tc>
        <w:tc>
          <w:tcPr>
            <w:tcW w:w="22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41.</w:t>
            </w:r>
          </w:p>
        </w:tc>
        <w:tc>
          <w:tcPr>
            <w:tcW w:w="848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2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91"/>
        </w:trPr>
        <w:tc>
          <w:tcPr>
            <w:tcW w:w="280" w:type="dxa"/>
            <w:vAlign w:val="bottom"/>
          </w:tcPr>
          <w:p>
            <w:pPr>
              <w:jc w:val="right"/>
              <w:spacing w:after="0"/>
              <w:rPr>
                <w:sz w:val="20"/>
                <w:szCs w:val="20"/>
                <w:color w:val="auto"/>
              </w:rPr>
            </w:pPr>
            <w:r>
              <w:rPr>
                <w:rFonts w:ascii="Arial" w:cs="Arial" w:eastAsia="Arial" w:hAnsi="Arial"/>
                <w:sz w:val="18"/>
                <w:szCs w:val="18"/>
                <w:color w:val="auto"/>
                <w:w w:val="79"/>
              </w:rPr>
              <w:t>42.</w:t>
            </w:r>
          </w:p>
        </w:tc>
        <w:tc>
          <w:tcPr>
            <w:tcW w:w="8480" w:type="dxa"/>
            <w:vAlign w:val="bottom"/>
          </w:tcPr>
          <w:p>
            <w:pPr>
              <w:ind w:left="40"/>
              <w:spacing w:after="0"/>
              <w:rPr>
                <w:sz w:val="20"/>
                <w:szCs w:val="20"/>
                <w:color w:val="auto"/>
              </w:rPr>
            </w:pPr>
            <w:r>
              <w:rPr>
                <w:rFonts w:ascii="Arial" w:cs="Arial" w:eastAsia="Arial" w:hAnsi="Arial"/>
                <w:sz w:val="18"/>
                <w:szCs w:val="18"/>
                <w:color w:val="auto"/>
              </w:rPr>
              <w:t>FORCE MAJEURE</w:t>
            </w:r>
          </w:p>
        </w:tc>
        <w:tc>
          <w:tcPr>
            <w:tcW w:w="2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43.</w:t>
            </w:r>
          </w:p>
        </w:tc>
        <w:tc>
          <w:tcPr>
            <w:tcW w:w="8480" w:type="dxa"/>
            <w:vAlign w:val="bottom"/>
          </w:tcPr>
          <w:p>
            <w:pPr>
              <w:ind w:left="40"/>
              <w:spacing w:after="0"/>
              <w:rPr>
                <w:sz w:val="20"/>
                <w:szCs w:val="20"/>
                <w:color w:val="auto"/>
              </w:rPr>
            </w:pPr>
            <w:r>
              <w:rPr>
                <w:rFonts w:ascii="Arial" w:cs="Arial" w:eastAsia="Arial" w:hAnsi="Arial"/>
                <w:sz w:val="18"/>
                <w:szCs w:val="18"/>
                <w:color w:val="auto"/>
              </w:rPr>
              <w:t>REMEDIES AND WAIVERS</w:t>
            </w:r>
          </w:p>
        </w:tc>
        <w:tc>
          <w:tcPr>
            <w:tcW w:w="22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91"/>
        </w:trPr>
        <w:tc>
          <w:tcPr>
            <w:tcW w:w="280" w:type="dxa"/>
            <w:vAlign w:val="bottom"/>
          </w:tcPr>
          <w:p>
            <w:pPr>
              <w:jc w:val="right"/>
              <w:spacing w:after="0"/>
              <w:rPr>
                <w:sz w:val="20"/>
                <w:szCs w:val="20"/>
                <w:color w:val="auto"/>
              </w:rPr>
            </w:pPr>
            <w:r>
              <w:rPr>
                <w:rFonts w:ascii="Arial" w:cs="Arial" w:eastAsia="Arial" w:hAnsi="Arial"/>
                <w:sz w:val="18"/>
                <w:szCs w:val="18"/>
                <w:color w:val="auto"/>
                <w:w w:val="79"/>
              </w:rPr>
              <w:t>44.</w:t>
            </w:r>
          </w:p>
        </w:tc>
        <w:tc>
          <w:tcPr>
            <w:tcW w:w="8480" w:type="dxa"/>
            <w:vAlign w:val="bottom"/>
          </w:tcPr>
          <w:p>
            <w:pPr>
              <w:ind w:left="40"/>
              <w:spacing w:after="0"/>
              <w:rPr>
                <w:sz w:val="20"/>
                <w:szCs w:val="20"/>
                <w:color w:val="auto"/>
              </w:rPr>
            </w:pPr>
            <w:r>
              <w:rPr>
                <w:rFonts w:ascii="Arial" w:cs="Arial" w:eastAsia="Arial" w:hAnsi="Arial"/>
                <w:sz w:val="18"/>
                <w:szCs w:val="18"/>
                <w:color w:val="auto"/>
              </w:rPr>
              <w:t>NOTICES</w:t>
            </w:r>
          </w:p>
        </w:tc>
        <w:tc>
          <w:tcPr>
            <w:tcW w:w="22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45.</w:t>
            </w:r>
          </w:p>
        </w:tc>
        <w:tc>
          <w:tcPr>
            <w:tcW w:w="8480" w:type="dxa"/>
            <w:vAlign w:val="bottom"/>
          </w:tcPr>
          <w:p>
            <w:pPr>
              <w:ind w:left="40"/>
              <w:spacing w:after="0"/>
              <w:rPr>
                <w:sz w:val="20"/>
                <w:szCs w:val="20"/>
                <w:color w:val="auto"/>
              </w:rPr>
            </w:pPr>
            <w:r>
              <w:rPr>
                <w:rFonts w:ascii="Arial" w:cs="Arial" w:eastAsia="Arial" w:hAnsi="Arial"/>
                <w:sz w:val="18"/>
                <w:szCs w:val="18"/>
                <w:color w:val="auto"/>
              </w:rPr>
              <w:t>INDEPENDENT CONTRACTORS</w:t>
            </w:r>
          </w:p>
        </w:tc>
        <w:tc>
          <w:tcPr>
            <w:tcW w:w="22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91"/>
        </w:trPr>
        <w:tc>
          <w:tcPr>
            <w:tcW w:w="280" w:type="dxa"/>
            <w:vAlign w:val="bottom"/>
          </w:tcPr>
          <w:p>
            <w:pPr>
              <w:jc w:val="right"/>
              <w:spacing w:after="0"/>
              <w:rPr>
                <w:sz w:val="20"/>
                <w:szCs w:val="20"/>
                <w:color w:val="auto"/>
              </w:rPr>
            </w:pPr>
            <w:r>
              <w:rPr>
                <w:rFonts w:ascii="Arial" w:cs="Arial" w:eastAsia="Arial" w:hAnsi="Arial"/>
                <w:sz w:val="18"/>
                <w:szCs w:val="18"/>
                <w:color w:val="auto"/>
                <w:w w:val="79"/>
              </w:rPr>
              <w:t>46.</w:t>
            </w:r>
          </w:p>
        </w:tc>
        <w:tc>
          <w:tcPr>
            <w:tcW w:w="84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92"/>
        </w:trPr>
        <w:tc>
          <w:tcPr>
            <w:tcW w:w="280" w:type="dxa"/>
            <w:vAlign w:val="bottom"/>
          </w:tcPr>
          <w:p>
            <w:pPr>
              <w:jc w:val="right"/>
              <w:spacing w:after="0"/>
              <w:rPr>
                <w:sz w:val="20"/>
                <w:szCs w:val="20"/>
                <w:color w:val="auto"/>
              </w:rPr>
            </w:pPr>
            <w:r>
              <w:rPr>
                <w:rFonts w:ascii="Arial" w:cs="Arial" w:eastAsia="Arial" w:hAnsi="Arial"/>
                <w:sz w:val="18"/>
                <w:szCs w:val="18"/>
                <w:color w:val="auto"/>
                <w:w w:val="79"/>
              </w:rPr>
              <w:t>47.</w:t>
            </w:r>
          </w:p>
        </w:tc>
        <w:tc>
          <w:tcPr>
            <w:tcW w:w="848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2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64"/>
        </w:trPr>
        <w:tc>
          <w:tcPr>
            <w:tcW w:w="280" w:type="dxa"/>
            <w:vAlign w:val="bottom"/>
          </w:tcPr>
          <w:p>
            <w:pPr>
              <w:spacing w:after="0"/>
              <w:rPr>
                <w:sz w:val="24"/>
                <w:szCs w:val="24"/>
                <w:color w:val="auto"/>
              </w:rPr>
            </w:pPr>
          </w:p>
        </w:tc>
        <w:tc>
          <w:tcPr>
            <w:tcW w:w="8480" w:type="dxa"/>
            <w:vAlign w:val="bottom"/>
          </w:tcPr>
          <w:p>
            <w:pPr>
              <w:ind w:left="5180"/>
              <w:spacing w:after="0"/>
              <w:rPr>
                <w:sz w:val="20"/>
                <w:szCs w:val="20"/>
                <w:color w:val="auto"/>
              </w:rPr>
            </w:pPr>
            <w:r>
              <w:rPr>
                <w:rFonts w:ascii="Arial" w:cs="Arial" w:eastAsia="Arial" w:hAnsi="Arial"/>
                <w:sz w:val="18"/>
                <w:szCs w:val="18"/>
                <w:color w:val="auto"/>
              </w:rPr>
              <w:t>3</w:t>
            </w:r>
          </w:p>
        </w:tc>
        <w:tc>
          <w:tcPr>
            <w:tcW w:w="2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3" w:name="page294"/>
    <w:bookmarkEnd w:id="293"/>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48.</w:t>
            </w:r>
          </w:p>
        </w:tc>
        <w:tc>
          <w:tcPr>
            <w:tcW w:w="838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49.</w:t>
            </w:r>
          </w:p>
        </w:tc>
        <w:tc>
          <w:tcPr>
            <w:tcW w:w="8380" w:type="dxa"/>
            <w:vAlign w:val="bottom"/>
          </w:tcPr>
          <w:p>
            <w:pPr>
              <w:ind w:left="40"/>
              <w:spacing w:after="0"/>
              <w:rPr>
                <w:sz w:val="20"/>
                <w:szCs w:val="20"/>
                <w:color w:val="auto"/>
              </w:rPr>
            </w:pPr>
            <w:r>
              <w:rPr>
                <w:rFonts w:ascii="Arial" w:cs="Arial" w:eastAsia="Arial" w:hAnsi="Arial"/>
                <w:sz w:val="18"/>
                <w:szCs w:val="18"/>
                <w:color w:val="auto"/>
              </w:rPr>
              <w:t>INVALIDITY</w:t>
            </w:r>
          </w:p>
        </w:tc>
        <w:tc>
          <w:tcPr>
            <w:tcW w:w="2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50.</w:t>
            </w:r>
          </w:p>
        </w:tc>
        <w:tc>
          <w:tcPr>
            <w:tcW w:w="8380" w:type="dxa"/>
            <w:vAlign w:val="bottom"/>
          </w:tcPr>
          <w:p>
            <w:pPr>
              <w:ind w:left="40"/>
              <w:spacing w:after="0"/>
              <w:rPr>
                <w:sz w:val="20"/>
                <w:szCs w:val="20"/>
                <w:color w:val="auto"/>
              </w:rPr>
            </w:pPr>
            <w:r>
              <w:rPr>
                <w:rFonts w:ascii="Arial" w:cs="Arial" w:eastAsia="Arial" w:hAnsi="Arial"/>
                <w:sz w:val="18"/>
                <w:szCs w:val="18"/>
                <w:color w:val="auto"/>
              </w:rPr>
              <w:t>FURTHER ASSURANCE</w:t>
            </w:r>
          </w:p>
        </w:tc>
        <w:tc>
          <w:tcPr>
            <w:tcW w:w="2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51.</w:t>
            </w:r>
          </w:p>
        </w:tc>
        <w:tc>
          <w:tcPr>
            <w:tcW w:w="8380" w:type="dxa"/>
            <w:vAlign w:val="bottom"/>
          </w:tcPr>
          <w:p>
            <w:pPr>
              <w:ind w:left="40"/>
              <w:spacing w:after="0"/>
              <w:rPr>
                <w:sz w:val="20"/>
                <w:szCs w:val="20"/>
                <w:color w:val="auto"/>
              </w:rPr>
            </w:pPr>
            <w:r>
              <w:rPr>
                <w:rFonts w:ascii="Arial" w:cs="Arial" w:eastAsia="Arial" w:hAnsi="Arial"/>
                <w:sz w:val="18"/>
                <w:szCs w:val="18"/>
                <w:color w:val="auto"/>
              </w:rPr>
              <w:t>THIRD PARTY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92"/>
        </w:trPr>
        <w:tc>
          <w:tcPr>
            <w:tcW w:w="280" w:type="dxa"/>
            <w:vAlign w:val="bottom"/>
          </w:tcPr>
          <w:p>
            <w:pPr>
              <w:spacing w:after="0"/>
              <w:rPr>
                <w:sz w:val="20"/>
                <w:szCs w:val="20"/>
                <w:color w:val="auto"/>
              </w:rPr>
            </w:pPr>
            <w:r>
              <w:rPr>
                <w:rFonts w:ascii="Arial" w:cs="Arial" w:eastAsia="Arial" w:hAnsi="Arial"/>
                <w:sz w:val="18"/>
                <w:szCs w:val="18"/>
                <w:color w:val="auto"/>
              </w:rPr>
              <w:t>52.</w:t>
            </w:r>
          </w:p>
        </w:tc>
        <w:tc>
          <w:tcPr>
            <w:tcW w:w="83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2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92"/>
        </w:trPr>
        <w:tc>
          <w:tcPr>
            <w:tcW w:w="8660" w:type="dxa"/>
            <w:vAlign w:val="bottom"/>
            <w:gridSpan w:val="2"/>
          </w:tcPr>
          <w:p>
            <w:pPr>
              <w:spacing w:after="0"/>
              <w:rPr>
                <w:sz w:val="20"/>
                <w:szCs w:val="20"/>
                <w:color w:val="auto"/>
              </w:rPr>
            </w:pPr>
            <w:r>
              <w:rPr>
                <w:rFonts w:ascii="Arial" w:cs="Arial" w:eastAsia="Arial" w:hAnsi="Arial"/>
                <w:sz w:val="18"/>
                <w:szCs w:val="18"/>
                <w:color w:val="auto"/>
              </w:rPr>
              <w:t>SCHEDULE 1 PRC LICENSEES AS AT THE DATE OF THIS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91"/>
        </w:trPr>
        <w:tc>
          <w:tcPr>
            <w:tcW w:w="8660" w:type="dxa"/>
            <w:vAlign w:val="bottom"/>
            <w:gridSpan w:val="2"/>
          </w:tcPr>
          <w:p>
            <w:pPr>
              <w:spacing w:after="0"/>
              <w:rPr>
                <w:sz w:val="20"/>
                <w:szCs w:val="20"/>
                <w:color w:val="auto"/>
              </w:rPr>
            </w:pPr>
            <w:r>
              <w:rPr>
                <w:rFonts w:ascii="Arial" w:cs="Arial" w:eastAsia="Arial" w:hAnsi="Arial"/>
                <w:sz w:val="18"/>
                <w:szCs w:val="18"/>
                <w:color w:val="auto"/>
              </w:rPr>
              <w:t>SCHEDULE 2 PRICING CALCULATION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92"/>
        </w:trPr>
        <w:tc>
          <w:tcPr>
            <w:tcW w:w="8660" w:type="dxa"/>
            <w:vAlign w:val="bottom"/>
            <w:gridSpan w:val="2"/>
          </w:tcPr>
          <w:p>
            <w:pPr>
              <w:spacing w:after="0"/>
              <w:rPr>
                <w:sz w:val="20"/>
                <w:szCs w:val="20"/>
                <w:color w:val="auto"/>
              </w:rPr>
            </w:pPr>
            <w:r>
              <w:rPr>
                <w:rFonts w:ascii="Arial" w:cs="Arial" w:eastAsia="Arial" w:hAnsi="Arial"/>
                <w:sz w:val="18"/>
                <w:szCs w:val="18"/>
                <w:color w:val="auto"/>
              </w:rPr>
              <w:t>SCHEDULE 3 PRO FORMA PAYMENT REPORT</w:t>
            </w:r>
          </w:p>
        </w:tc>
        <w:tc>
          <w:tcPr>
            <w:tcW w:w="23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92"/>
        </w:trPr>
        <w:tc>
          <w:tcPr>
            <w:tcW w:w="8660" w:type="dxa"/>
            <w:vAlign w:val="bottom"/>
            <w:gridSpan w:val="2"/>
          </w:tcPr>
          <w:p>
            <w:pPr>
              <w:spacing w:after="0"/>
              <w:rPr>
                <w:sz w:val="20"/>
                <w:szCs w:val="20"/>
                <w:color w:val="auto"/>
              </w:rPr>
            </w:pPr>
            <w:r>
              <w:rPr>
                <w:rFonts w:ascii="Arial" w:cs="Arial" w:eastAsia="Arial" w:hAnsi="Arial"/>
                <w:sz w:val="18"/>
                <w:szCs w:val="18"/>
                <w:color w:val="auto"/>
              </w:rPr>
              <w:t>SCHEDULE 4 PERMITTED DEVIATIONS AND LICENSING EXCEPTIONS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92"/>
        </w:trPr>
        <w:tc>
          <w:tcPr>
            <w:tcW w:w="8660" w:type="dxa"/>
            <w:vAlign w:val="bottom"/>
            <w:gridSpan w:val="2"/>
          </w:tcPr>
          <w:p>
            <w:pPr>
              <w:spacing w:after="0"/>
              <w:rPr>
                <w:sz w:val="20"/>
                <w:szCs w:val="20"/>
                <w:color w:val="auto"/>
              </w:rPr>
            </w:pPr>
            <w:r>
              <w:rPr>
                <w:rFonts w:ascii="Arial" w:cs="Arial" w:eastAsia="Arial" w:hAnsi="Arial"/>
                <w:sz w:val="18"/>
                <w:szCs w:val="18"/>
                <w:color w:val="auto"/>
              </w:rPr>
              <w:t>SCHEDULE 5 EXAMPLE PRODUCT LIFECYCLE MANAGEMENT REQUIREMENTS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64"/>
        </w:trPr>
        <w:tc>
          <w:tcPr>
            <w:tcW w:w="280" w:type="dxa"/>
            <w:vAlign w:val="bottom"/>
          </w:tcPr>
          <w:p>
            <w:pPr>
              <w:spacing w:after="0"/>
              <w:rPr>
                <w:sz w:val="24"/>
                <w:szCs w:val="24"/>
                <w:color w:val="auto"/>
              </w:rPr>
            </w:pPr>
          </w:p>
        </w:tc>
        <w:tc>
          <w:tcPr>
            <w:tcW w:w="8380" w:type="dxa"/>
            <w:vAlign w:val="bottom"/>
          </w:tcPr>
          <w:p>
            <w:pPr>
              <w:ind w:left="5180"/>
              <w:spacing w:after="0"/>
              <w:rPr>
                <w:sz w:val="20"/>
                <w:szCs w:val="20"/>
                <w:color w:val="auto"/>
              </w:rPr>
            </w:pPr>
            <w:r>
              <w:rPr>
                <w:rFonts w:ascii="Arial" w:cs="Arial" w:eastAsia="Arial" w:hAnsi="Arial"/>
                <w:sz w:val="18"/>
                <w:szCs w:val="18"/>
                <w:color w:val="auto"/>
              </w:rPr>
              <w:t>4</w:t>
            </w:r>
          </w:p>
        </w:tc>
        <w:tc>
          <w:tcPr>
            <w:tcW w:w="2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449"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4" w:name="page295"/>
    <w:bookmarkEnd w:id="29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is made the 24th day of April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31" w:lineRule="exact"/>
        <w:rPr>
          <w:sz w:val="20"/>
          <w:szCs w:val="20"/>
          <w:color w:val="auto"/>
        </w:rPr>
      </w:pPr>
    </w:p>
    <w:p>
      <w:pPr>
        <w:ind w:left="544" w:right="80" w:hanging="544"/>
        <w:spacing w:after="0" w:line="282" w:lineRule="auto"/>
        <w:tabs>
          <w:tab w:leader="none" w:pos="544"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ARM LIMITED</w:t>
      </w:r>
      <w:r>
        <w:rPr>
          <w:rFonts w:ascii="Arial" w:cs="Arial" w:eastAsia="Arial" w:hAnsi="Arial"/>
          <w:sz w:val="18"/>
          <w:szCs w:val="18"/>
          <w:color w:val="auto"/>
        </w:rPr>
        <w:t>, a company incorporated under the laws of England with company registration number 02557590 and whose registered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is at 110 Fulbourn Road, Cambridge, Cambridgeshire, CB1 9NJ (“</w:t>
      </w:r>
      <w:r>
        <w:rPr>
          <w:rFonts w:ascii="Arial" w:cs="Arial" w:eastAsia="Arial" w:hAnsi="Arial"/>
          <w:sz w:val="18"/>
          <w:szCs w:val="18"/>
          <w:b w:val="1"/>
          <w:bCs w:val="1"/>
          <w:color w:val="auto"/>
        </w:rPr>
        <w:t>ARM</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p>
    <w:p>
      <w:pPr>
        <w:spacing w:after="0" w:line="131" w:lineRule="exact"/>
        <w:rPr>
          <w:sz w:val="20"/>
          <w:szCs w:val="20"/>
          <w:color w:val="auto"/>
        </w:rPr>
      </w:pPr>
    </w:p>
    <w:p>
      <w:pPr>
        <w:ind w:left="544" w:right="100" w:hanging="544"/>
        <w:spacing w:after="0" w:line="226" w:lineRule="exact"/>
        <w:tabs>
          <w:tab w:leader="none" w:pos="544"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ARM TECHNOLOGY (CHINA) CO. LTD </w:t>
      </w:r>
      <w:r>
        <w:rPr>
          <w:rFonts w:ascii="Arial" w:cs="Arial" w:eastAsia="Arial" w:hAnsi="Arial"/>
          <w:sz w:val="18"/>
          <w:szCs w:val="18"/>
          <w:color w:val="auto"/>
        </w:rPr>
        <w:t>(</w:t>
      </w:r>
      <w:r>
        <w:rPr>
          <w:rFonts w:ascii="SimSun" w:cs="SimSun" w:eastAsia="SimSun" w:hAnsi="SimSun"/>
          <w:sz w:val="16"/>
          <w:szCs w:val="16"/>
          <w:color w:val="auto"/>
        </w:rPr>
        <w:t>安谋科技（中国）有限公司</w:t>
      </w:r>
      <w:r>
        <w:rPr>
          <w:rFonts w:ascii="Arial" w:cs="Arial" w:eastAsia="Arial" w:hAnsi="Arial"/>
          <w:sz w:val="18"/>
          <w:szCs w:val="18"/>
          <w:color w:val="auto"/>
        </w:rPr>
        <w:t>), a sino-foreign equity joint venture limited liability company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People’s Republic of China whose principal place of business is situated at Room 201, Building A, No. 1 First Qianwan Road, Qianhai Shengang Cooperation Zone, Shenzhen (</w:t>
      </w:r>
      <w:r>
        <w:rPr>
          <w:rFonts w:ascii="SimSun" w:cs="SimSun" w:eastAsia="SimSun" w:hAnsi="SimSun"/>
          <w:sz w:val="16"/>
          <w:szCs w:val="16"/>
          <w:color w:val="auto"/>
        </w:rPr>
        <w:t>深圳市前海深港合作区前湾一路</w:t>
      </w:r>
      <w:r>
        <w:rPr>
          <w:rFonts w:ascii="Arial" w:cs="Arial" w:eastAsia="Arial" w:hAnsi="Arial"/>
          <w:sz w:val="18"/>
          <w:szCs w:val="18"/>
          <w:color w:val="auto"/>
        </w:rPr>
        <w:t>1</w:t>
      </w:r>
      <w:r>
        <w:rPr>
          <w:rFonts w:ascii="SimSun" w:cs="SimSun" w:eastAsia="SimSun" w:hAnsi="SimSun"/>
          <w:sz w:val="16"/>
          <w:szCs w:val="16"/>
          <w:color w:val="auto"/>
        </w:rPr>
        <w:t>号</w:t>
      </w:r>
      <w:r>
        <w:rPr>
          <w:rFonts w:ascii="Arial" w:cs="Arial" w:eastAsia="Arial" w:hAnsi="Arial"/>
          <w:sz w:val="18"/>
          <w:szCs w:val="18"/>
          <w:color w:val="auto"/>
        </w:rPr>
        <w:t>A</w:t>
      </w:r>
      <w:r>
        <w:rPr>
          <w:rFonts w:ascii="SimSun" w:cs="SimSun" w:eastAsia="SimSun" w:hAnsi="SimSun"/>
          <w:sz w:val="16"/>
          <w:szCs w:val="16"/>
          <w:color w:val="auto"/>
        </w:rPr>
        <w:t>栋</w:t>
      </w:r>
      <w:r>
        <w:rPr>
          <w:rFonts w:ascii="Arial" w:cs="Arial" w:eastAsia="Arial" w:hAnsi="Arial"/>
          <w:sz w:val="18"/>
          <w:szCs w:val="18"/>
          <w:color w:val="auto"/>
        </w:rPr>
        <w:t xml:space="preserve"> 201</w:t>
      </w:r>
      <w:r>
        <w:rPr>
          <w:rFonts w:ascii="SimSun" w:cs="SimSun" w:eastAsia="SimSun" w:hAnsi="SimSun"/>
          <w:sz w:val="16"/>
          <w:szCs w:val="16"/>
          <w:color w:val="auto"/>
        </w:rPr>
        <w:t>室</w:t>
      </w:r>
      <w:r>
        <w:rPr>
          <w:rFonts w:ascii="Arial" w:cs="Arial" w:eastAsia="Arial" w:hAnsi="Arial"/>
          <w:sz w:val="18"/>
          <w:szCs w:val="18"/>
          <w:color w:val="auto"/>
        </w:rPr>
        <w:t>), the PRC (“</w:t>
      </w:r>
      <w:r>
        <w:rPr>
          <w:rFonts w:ascii="Arial" w:cs="Arial" w:eastAsia="Arial" w:hAnsi="Arial"/>
          <w:sz w:val="18"/>
          <w:szCs w:val="18"/>
          <w:b w:val="1"/>
          <w:bCs w:val="1"/>
          <w:color w:val="auto"/>
        </w:rPr>
        <w:t>JVCo</w:t>
      </w:r>
      <w:r>
        <w:rPr>
          <w:rFonts w:ascii="Arial" w:cs="Arial" w:eastAsia="Arial" w:hAnsi="Arial"/>
          <w:sz w:val="18"/>
          <w:szCs w:val="18"/>
          <w:color w:val="auto"/>
        </w:rPr>
        <w:t>”),</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line="256" w:lineRule="auto"/>
        <w:tabs>
          <w:tab w:leader="none" w:pos="5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ARM, HOPU-ARM Innovation Fund L.P. (“</w:t>
      </w:r>
      <w:r>
        <w:rPr>
          <w:rFonts w:ascii="Arial" w:cs="Arial" w:eastAsia="Arial" w:hAnsi="Arial"/>
          <w:sz w:val="18"/>
          <w:szCs w:val="18"/>
          <w:b w:val="1"/>
          <w:bCs w:val="1"/>
          <w:color w:val="auto"/>
        </w:rPr>
        <w:t>HOPU</w:t>
      </w:r>
      <w:r>
        <w:rPr>
          <w:rFonts w:ascii="Arial" w:cs="Arial" w:eastAsia="Arial" w:hAnsi="Arial"/>
          <w:sz w:val="18"/>
          <w:szCs w:val="18"/>
          <w:color w:val="auto"/>
        </w:rPr>
        <w:t>”) and JVCo have entered into an Investment Agreement dated 29 September 2017 and have established therein the terms and conditions on which ARM and HOPU intend to establish a joint venture (the “</w:t>
      </w:r>
      <w:r>
        <w:rPr>
          <w:rFonts w:ascii="Arial" w:cs="Arial" w:eastAsia="Arial" w:hAnsi="Arial"/>
          <w:sz w:val="18"/>
          <w:szCs w:val="18"/>
          <w:b w:val="1"/>
          <w:bCs w:val="1"/>
          <w:color w:val="auto"/>
        </w:rPr>
        <w:t>Investment Agreement</w:t>
      </w:r>
      <w:r>
        <w:rPr>
          <w:rFonts w:ascii="Arial" w:cs="Arial" w:eastAsia="Arial" w:hAnsi="Arial"/>
          <w:sz w:val="18"/>
          <w:szCs w:val="18"/>
          <w:color w:val="auto"/>
        </w:rPr>
        <w:t>”). ARM and certain SPV entities will be entering into a joint venture contract at the Closing Date, which will establish therein the terms and conditions of the operation of JVCo (the “</w:t>
      </w:r>
      <w:r>
        <w:rPr>
          <w:rFonts w:ascii="Arial" w:cs="Arial" w:eastAsia="Arial" w:hAnsi="Arial"/>
          <w:sz w:val="18"/>
          <w:szCs w:val="18"/>
          <w:b w:val="1"/>
          <w:bCs w:val="1"/>
          <w:color w:val="auto"/>
        </w:rPr>
        <w:t>Joint Venture Contract</w:t>
      </w:r>
      <w:r>
        <w:rPr>
          <w:rFonts w:ascii="Arial" w:cs="Arial" w:eastAsia="Arial" w:hAnsi="Arial"/>
          <w:sz w:val="18"/>
          <w:szCs w:val="18"/>
          <w:color w:val="auto"/>
        </w:rPr>
        <w:t>”). An agreed form draft of the Joint Venture Contract is included at Exhibit III of the Investment Agreement and, from the date of this Agreement until the Closing Date, such agreed form draft shall be deemed to be the Joint Venture Contract.</w:t>
      </w:r>
    </w:p>
    <w:p>
      <w:pPr>
        <w:spacing w:after="0" w:line="96" w:lineRule="exact"/>
        <w:rPr>
          <w:rFonts w:ascii="Arial" w:cs="Arial" w:eastAsia="Arial" w:hAnsi="Arial"/>
          <w:sz w:val="18"/>
          <w:szCs w:val="18"/>
          <w:color w:val="auto"/>
        </w:rPr>
      </w:pPr>
    </w:p>
    <w:p>
      <w:pPr>
        <w:ind w:left="544" w:hanging="544"/>
        <w:spacing w:after="0" w:line="296" w:lineRule="auto"/>
        <w:tabs>
          <w:tab w:leader="none" w:pos="54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Joint Venture Contract contemplates that JVCo will: (i) enter into licensing arrangements with PRC Licensees (as defined below) with respect to Original ARM Products (as defined below), including Licensed ARM Architectures (as defined below), and ARM Derivative Products (as defined below); (ii) develop and enter into licensing arrangements with PRC Licensees with respect to Derivative Products (as defined below); and (iii) develop and enter into licensing arrangements with PRC Licensees with respect to Independent Products (as defined below), in each case, in accordance with the terms and conditions of this Agreement and the Transaction Documents (as defined below).</w:t>
      </w:r>
    </w:p>
    <w:p>
      <w:pPr>
        <w:spacing w:after="0" w:line="66" w:lineRule="exact"/>
        <w:rPr>
          <w:rFonts w:ascii="Arial" w:cs="Arial" w:eastAsia="Arial" w:hAnsi="Arial"/>
          <w:sz w:val="16"/>
          <w:szCs w:val="16"/>
          <w:color w:val="auto"/>
        </w:rPr>
      </w:pPr>
    </w:p>
    <w:p>
      <w:pPr>
        <w:ind w:left="544" w:right="20" w:hanging="544"/>
        <w:spacing w:after="0" w:line="263" w:lineRule="auto"/>
        <w:tabs>
          <w:tab w:leader="none" w:pos="5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Joint Venture Contract also contemplates that ARM will enter into licensing arrangements with Non-PRC Licensees (as defined below) with respect to Derivative Products, Independent Products and ARM Derivative Products in accordance with the terms and conditions of this Agreement and the terms and conditions of the Transaction Documents.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295" w:name="page296"/>
    <w:bookmarkEnd w:id="295"/>
    <w:p>
      <w:pPr>
        <w:ind w:left="544" w:right="40" w:hanging="544"/>
        <w:spacing w:after="0" w:line="277" w:lineRule="auto"/>
        <w:tabs>
          <w:tab w:leader="none" w:pos="5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to facilitate the activities listed at (B) above, ARM has agreed to grant, and JVCo has agreed to take a license of, the ARM Licensed IP (as defined below) on the terms and conditions set out in this Agreement.</w:t>
      </w:r>
    </w:p>
    <w:p>
      <w:pPr>
        <w:spacing w:after="0" w:line="75"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set out at (B) above, it is anticipated that JVCo will develop Derivative Products and Independent Products (in which JVCo Licensed IP will subsist).</w:t>
      </w:r>
    </w:p>
    <w:p>
      <w:pPr>
        <w:spacing w:after="0" w:line="75" w:lineRule="exact"/>
        <w:rPr>
          <w:rFonts w:ascii="Arial" w:cs="Arial" w:eastAsia="Arial" w:hAnsi="Arial"/>
          <w:sz w:val="18"/>
          <w:szCs w:val="18"/>
          <w:color w:val="auto"/>
        </w:rPr>
      </w:pPr>
    </w:p>
    <w:p>
      <w:pPr>
        <w:ind w:left="544" w:right="40" w:hanging="544"/>
        <w:spacing w:after="0" w:line="277" w:lineRule="auto"/>
        <w:tabs>
          <w:tab w:leader="none" w:pos="5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order to facilitate the activities listed at (C) above, JVCo has agreed to grant, and ARM has agreed to take a license of, the JVCo Licensed IP on the terms and conditions set out in this Agreement.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131" w:lineRule="exact"/>
        <w:rPr>
          <w:sz w:val="20"/>
          <w:szCs w:val="20"/>
          <w:color w:val="auto"/>
        </w:rPr>
      </w:pPr>
    </w:p>
    <w:p>
      <w:pPr>
        <w:ind w:left="544" w:hanging="544"/>
        <w:spacing w:after="0"/>
        <w:tabs>
          <w:tab w:leader="none" w:pos="544"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following words and expressions shall have the following meanings:</w:t>
      </w:r>
    </w:p>
    <w:p>
      <w:pPr>
        <w:sectPr>
          <w:pgSz w:w="11900" w:h="16838" w:orient="portrait"/>
          <w:cols w:equalWidth="0" w:num="1">
            <w:col w:w="10924"/>
          </w:cols>
          <w:pgMar w:left="436" w:top="274" w:right="539" w:bottom="1440" w:gutter="0" w:footer="0" w:header="0"/>
        </w:sectPr>
      </w:pPr>
    </w:p>
    <w:p>
      <w:pPr>
        <w:spacing w:after="0" w:line="248"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Accounting</w:t>
      </w:r>
      <w:r>
        <w:rPr>
          <w:rFonts w:ascii="Arial" w:cs="Arial" w:eastAsia="Arial" w:hAnsi="Arial"/>
          <w:sz w:val="18"/>
          <w:szCs w:val="18"/>
          <w:color w:val="auto"/>
        </w:rPr>
        <w:t xml:space="preserve"> </w:t>
      </w:r>
      <w:r>
        <w:rPr>
          <w:rFonts w:ascii="Arial" w:cs="Arial" w:eastAsia="Arial" w:hAnsi="Arial"/>
          <w:sz w:val="18"/>
          <w:szCs w:val="18"/>
          <w:b w:val="1"/>
          <w:bCs w:val="1"/>
          <w:color w:val="auto"/>
        </w:rPr>
        <w:t>Firm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means (i) PricewaterhouseCoopers, Ernst &amp; Young, KPMG, Deloitte, BDO Stoy Hayward, Grant Thornton or Mazars provided, in each case, that such firm is independent of the Parties; or (ii) such other firm of certified public accountants agreed by the Parties, provided that such firm is independent of the Parties;</w:t>
      </w:r>
    </w:p>
    <w:p>
      <w:pPr>
        <w:spacing w:after="0" w:line="72" w:lineRule="exact"/>
        <w:rPr>
          <w:sz w:val="20"/>
          <w:szCs w:val="20"/>
          <w:color w:val="auto"/>
        </w:rPr>
      </w:pPr>
    </w:p>
    <w:p>
      <w:pPr>
        <w:sectPr>
          <w:pgSz w:w="11900" w:h="16838" w:orient="portrait"/>
          <w:cols w:equalWidth="0" w:num="2">
            <w:col w:w="1844" w:space="580"/>
            <w:col w:w="850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Adjudicating Firm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40.15.1;</w:t>
      </w:r>
    </w:p>
    <w:p>
      <w:pPr>
        <w:spacing w:after="0" w:line="136" w:lineRule="exact"/>
        <w:rPr>
          <w:sz w:val="20"/>
          <w:szCs w:val="20"/>
          <w:color w:val="auto"/>
        </w:rPr>
      </w:pPr>
    </w:p>
    <w:p>
      <w:pPr>
        <w:sectPr>
          <w:pgSz w:w="11900" w:h="16838" w:orient="portrait"/>
          <w:cols w:equalWidth="0" w:num="2">
            <w:col w:w="1704" w:space="720"/>
            <w:col w:w="850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Adjudicating Firm’s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40.15.1;</w:t>
      </w:r>
    </w:p>
    <w:p>
      <w:pPr>
        <w:spacing w:after="0" w:line="46" w:lineRule="exact"/>
        <w:rPr>
          <w:sz w:val="20"/>
          <w:szCs w:val="20"/>
          <w:color w:val="auto"/>
        </w:rPr>
      </w:pPr>
    </w:p>
    <w:p>
      <w:pPr>
        <w:sectPr>
          <w:pgSz w:w="11900" w:h="16838" w:orient="portrait"/>
          <w:cols w:equalWidth="0" w:num="2">
            <w:col w:w="1704" w:space="720"/>
            <w:col w:w="850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Decision</w:t>
      </w:r>
      <w:r>
        <w:rPr>
          <w:rFonts w:ascii="Arial" w:cs="Arial" w:eastAsia="Arial" w:hAnsi="Arial"/>
          <w:sz w:val="15"/>
          <w:szCs w:val="15"/>
          <w:color w:val="auto"/>
        </w:rPr>
        <w:t>”</w:t>
      </w:r>
    </w:p>
    <w:p>
      <w:pPr>
        <w:sectPr>
          <w:pgSz w:w="11900" w:h="16838" w:orient="portrait"/>
          <w:cols w:equalWidth="0" w:num="1">
            <w:col w:w="10924"/>
          </w:cols>
          <w:pgMar w:left="436" w:top="274" w:right="539" w:bottom="1440" w:gutter="0" w:footer="0" w:header="0"/>
          <w:type w:val="continuous"/>
        </w:sectPr>
      </w:pPr>
    </w:p>
    <w:p>
      <w:pPr>
        <w:spacing w:after="0" w:line="133"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this ARM IP License Agreement entered into by the Parties as of the date hereof;</w:t>
      </w:r>
    </w:p>
    <w:p>
      <w:pPr>
        <w:spacing w:after="0" w:line="136" w:lineRule="exact"/>
        <w:rPr>
          <w:sz w:val="20"/>
          <w:szCs w:val="20"/>
          <w:color w:val="auto"/>
        </w:rPr>
      </w:pPr>
    </w:p>
    <w:p>
      <w:pPr>
        <w:sectPr>
          <w:pgSz w:w="11900" w:h="16838" w:orient="portrait"/>
          <w:cols w:equalWidth="0" w:num="2">
            <w:col w:w="1704" w:space="720"/>
            <w:col w:w="850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Third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5.4.2;</w:t>
      </w:r>
    </w:p>
    <w:p>
      <w:pPr>
        <w:spacing w:after="0" w:line="46" w:lineRule="exact"/>
        <w:rPr>
          <w:sz w:val="20"/>
          <w:szCs w:val="20"/>
          <w:color w:val="auto"/>
        </w:rPr>
      </w:pPr>
    </w:p>
    <w:p>
      <w:pPr>
        <w:sectPr>
          <w:pgSz w:w="11900" w:h="16838" w:orient="portrait"/>
          <w:cols w:equalWidth="0" w:num="2">
            <w:col w:w="1924" w:space="500"/>
            <w:col w:w="850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Workaround</w:t>
      </w:r>
      <w:r>
        <w:rPr>
          <w:rFonts w:ascii="Arial" w:cs="Arial" w:eastAsia="Arial" w:hAnsi="Arial"/>
          <w:sz w:val="17"/>
          <w:szCs w:val="17"/>
          <w:color w:val="auto"/>
        </w:rPr>
        <w:t>”</w:t>
      </w:r>
    </w:p>
    <w:p>
      <w:pPr>
        <w:sectPr>
          <w:pgSz w:w="11900" w:h="16838" w:orient="portrait"/>
          <w:cols w:equalWidth="0" w:num="1">
            <w:col w:w="10924"/>
          </w:cols>
          <w:pgMar w:left="436" w:top="274" w:right="539" w:bottom="1440" w:gutter="0" w:footer="0" w:header="0"/>
          <w:type w:val="continuous"/>
        </w:sectPr>
      </w:pPr>
    </w:p>
    <w:p>
      <w:pPr>
        <w:spacing w:after="0" w:line="110"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Workaround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means each Alternative Third Party Workaround and each Other Alternative Workaround;</w:t>
      </w:r>
    </w:p>
    <w:p>
      <w:pPr>
        <w:spacing w:after="0" w:line="136" w:lineRule="exact"/>
        <w:rPr>
          <w:sz w:val="20"/>
          <w:szCs w:val="20"/>
          <w:color w:val="auto"/>
        </w:rPr>
      </w:pPr>
    </w:p>
    <w:p>
      <w:pPr>
        <w:sectPr>
          <w:pgSz w:w="11900" w:h="16838" w:orient="portrait"/>
          <w:cols w:equalWidth="0" w:num="2">
            <w:col w:w="2064" w:space="360"/>
            <w:col w:w="8500"/>
          </w:cols>
          <w:pgMar w:left="436" w:top="274" w:right="539" w:bottom="1440" w:gutter="0" w:footer="0" w:header="0"/>
          <w:type w:val="continuous"/>
        </w:sectPr>
      </w:pPr>
    </w:p>
    <w:p>
      <w:pPr>
        <w:ind w:left="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Anti-Bribery and Anti-Corruption Policy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the Joint Venture Contract;</w:t>
      </w:r>
    </w:p>
    <w:p>
      <w:pPr>
        <w:spacing w:after="0" w:line="352" w:lineRule="exact"/>
        <w:rPr>
          <w:sz w:val="20"/>
          <w:szCs w:val="20"/>
          <w:color w:val="auto"/>
        </w:rPr>
      </w:pPr>
    </w:p>
    <w:p>
      <w:pPr>
        <w:sectPr>
          <w:pgSz w:w="11900" w:h="16838" w:orient="portrait"/>
          <w:cols w:equalWidth="0" w:num="2">
            <w:col w:w="1864" w:space="560"/>
            <w:col w:w="8500"/>
          </w:cols>
          <w:pgMar w:left="436" w:top="274" w:right="5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Arial" w:cs="Arial" w:eastAsia="Arial" w:hAnsi="Arial"/>
          <w:sz w:val="18"/>
          <w:szCs w:val="18"/>
          <w:color w:val="auto"/>
        </w:rPr>
        <w:t>means, with respect to any Person, any transnational, domestic or foreign federal, national, state, provincial or local law (statutory, common or otherwise), constitution, treaty, convention, ordinance, code, rule, regulation, order, injunction, judgment, decree, ruling or other similar requirement enacted, adopted, promulgated or applied by a Governmental Entity that is binding upon or applicable to such Person, as amended unless expressly specified otherwise;</w:t>
      </w:r>
    </w:p>
    <w:p>
      <w:pPr>
        <w:spacing w:after="0" w:line="120" w:lineRule="exact"/>
        <w:rPr>
          <w:sz w:val="20"/>
          <w:szCs w:val="20"/>
          <w:color w:val="auto"/>
        </w:rPr>
      </w:pPr>
    </w:p>
    <w:p>
      <w:pPr>
        <w:sectPr>
          <w:pgSz w:w="11900" w:h="16838" w:orient="portrait"/>
          <w:cols w:equalWidth="0" w:num="2">
            <w:col w:w="1704" w:space="720"/>
            <w:col w:w="8500"/>
          </w:cols>
          <w:pgMar w:left="436" w:top="274" w:right="539" w:bottom="1440" w:gutter="0" w:footer="0" w:header="0"/>
          <w:type w:val="continuous"/>
        </w:sectPr>
      </w:pPr>
    </w:p>
    <w:p>
      <w:pPr>
        <w:jc w:val="center"/>
        <w:ind w:right="-83"/>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924"/>
          </w:cols>
          <w:pgMar w:left="436" w:top="274" w:right="539" w:bottom="1440" w:gutter="0" w:footer="0" w:header="0"/>
          <w:type w:val="continuous"/>
        </w:sectPr>
      </w:pPr>
    </w:p>
    <w:bookmarkStart w:id="296" w:name="page297"/>
    <w:bookmarkEnd w:id="296"/>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Model License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-194310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140" w:space="280"/>
            <w:col w:w="8380"/>
          </w:cols>
          <w:pgMar w:left="440" w:top="270" w:right="659" w:bottom="1440" w:gutter="0" w:footer="0" w:header="0"/>
        </w:sectPr>
      </w:pPr>
    </w:p>
    <w:p>
      <w:pPr>
        <w:ind w:left="2780" w:right="80" w:hanging="359"/>
        <w:spacing w:after="0" w:line="277" w:lineRule="auto"/>
        <w:rPr>
          <w:sz w:val="20"/>
          <w:szCs w:val="20"/>
          <w:color w:val="auto"/>
        </w:rPr>
      </w:pPr>
      <w:r>
        <w:rPr>
          <w:rFonts w:ascii="Arial" w:cs="Arial" w:eastAsia="Arial" w:hAnsi="Arial"/>
          <w:sz w:val="18"/>
          <w:szCs w:val="18"/>
          <w:color w:val="auto"/>
        </w:rPr>
        <w:t>(i) the appropriate ARM Model License in the case of each Original ARM Product, Derivative Product and ARM Derivative Product derived from a Derivative Product; and</w:t>
      </w:r>
    </w:p>
    <w:p>
      <w:pPr>
        <w:spacing w:after="0" w:line="76" w:lineRule="exact"/>
        <w:rPr>
          <w:sz w:val="20"/>
          <w:szCs w:val="20"/>
          <w:color w:val="auto"/>
        </w:rPr>
      </w:pPr>
    </w:p>
    <w:p>
      <w:pPr>
        <w:ind w:left="2780" w:hanging="359"/>
        <w:spacing w:after="0" w:line="277" w:lineRule="auto"/>
        <w:rPr>
          <w:sz w:val="20"/>
          <w:szCs w:val="20"/>
          <w:color w:val="auto"/>
        </w:rPr>
      </w:pPr>
      <w:r>
        <w:rPr>
          <w:rFonts w:ascii="Arial" w:cs="Arial" w:eastAsia="Arial" w:hAnsi="Arial"/>
          <w:sz w:val="18"/>
          <w:szCs w:val="18"/>
          <w:color w:val="auto"/>
        </w:rPr>
        <w:t>(ii)  the appropriate JVCo Model License in the case of each ARM Derivative Product derived from an Independent Product and Independent Product;</w:t>
      </w:r>
    </w:p>
    <w:p>
      <w:pPr>
        <w:sectPr>
          <w:pgSz w:w="11900" w:h="16838" w:orient="portrait"/>
          <w:cols w:equalWidth="0" w:num="1">
            <w:col w:w="10800"/>
          </w:cols>
          <w:pgMar w:left="440" w:top="270" w:right="659" w:bottom="1440" w:gutter="0" w:footer="0" w:header="0"/>
          <w:type w:val="continuous"/>
        </w:sectPr>
      </w:pP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Referral</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40.4;</w:t>
      </w:r>
    </w:p>
    <w:p>
      <w:pPr>
        <w:spacing w:after="0" w:line="352" w:lineRule="exact"/>
        <w:rPr>
          <w:sz w:val="20"/>
          <w:szCs w:val="20"/>
          <w:color w:val="auto"/>
        </w:rPr>
      </w:pPr>
    </w:p>
    <w:p>
      <w:pPr>
        <w:sectPr>
          <w:pgSz w:w="11900" w:h="16838" w:orient="portrait"/>
          <w:cols w:equalWidth="0" w:num="2">
            <w:col w:w="1700" w:space="720"/>
            <w:col w:w="8380"/>
          </w:cols>
          <w:pgMar w:left="440" w:top="270" w:right="659" w:bottom="1440" w:gutter="0" w:footer="0" w:header="0"/>
          <w:type w:val="continuous"/>
        </w:sect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Architecture Compliant</w:t>
      </w:r>
      <w:r>
        <w:rPr>
          <w:rFonts w:ascii="Arial" w:cs="Arial" w:eastAsia="Arial" w:hAnsi="Arial"/>
          <w:sz w:val="18"/>
          <w:szCs w:val="18"/>
          <w:color w:val="auto"/>
        </w:rPr>
        <w:t xml:space="preserve"> </w:t>
      </w:r>
      <w:r>
        <w:rPr>
          <w:rFonts w:ascii="Arial" w:cs="Arial" w:eastAsia="Arial" w:hAnsi="Arial"/>
          <w:sz w:val="18"/>
          <w:szCs w:val="18"/>
          <w:b w:val="1"/>
          <w:bCs w:val="1"/>
          <w:color w:val="auto"/>
        </w:rPr>
        <w:t>Cores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means, with respect to each Licensed ARM Architecture, the cores that meet the requirements of the definition of “Architecture Compliant Cores” in the relevant ARM Model License for that Licensed ARM Architecture;</w:t>
      </w:r>
    </w:p>
    <w:p>
      <w:pPr>
        <w:spacing w:after="0" w:line="12" w:lineRule="exact"/>
        <w:rPr>
          <w:sz w:val="20"/>
          <w:szCs w:val="20"/>
          <w:color w:val="auto"/>
        </w:rPr>
      </w:pPr>
    </w:p>
    <w:p>
      <w:pPr>
        <w:sectPr>
          <w:pgSz w:w="11900" w:h="16838" w:orient="portrait"/>
          <w:cols w:equalWidth="0" w:num="2">
            <w:col w:w="1920" w:space="500"/>
            <w:col w:w="8380"/>
          </w:cols>
          <w:pgMar w:left="440" w:top="270" w:right="6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Architecture IP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64" w:lineRule="exact"/>
        <w:rPr>
          <w:sz w:val="20"/>
          <w:szCs w:val="20"/>
          <w:color w:val="auto"/>
        </w:rPr>
      </w:pPr>
    </w:p>
    <w:p>
      <w:pPr>
        <w:sectPr>
          <w:pgSz w:w="11900" w:h="16838" w:orient="portrait"/>
          <w:cols w:equalWidth="0" w:num="2">
            <w:col w:w="1700" w:space="720"/>
            <w:col w:w="8380"/>
          </w:cols>
          <w:pgMar w:left="440" w:top="270" w:right="659" w:bottom="1440" w:gutter="0" w:footer="0" w:header="0"/>
          <w:type w:val="continuous"/>
        </w:sectPr>
      </w:pPr>
    </w:p>
    <w:p>
      <w:pPr>
        <w:ind w:left="2420"/>
        <w:spacing w:after="0"/>
        <w:rPr>
          <w:sz w:val="20"/>
          <w:szCs w:val="20"/>
          <w:color w:val="auto"/>
        </w:rPr>
      </w:pPr>
      <w:r>
        <w:rPr>
          <w:rFonts w:ascii="Arial" w:cs="Arial" w:eastAsia="Arial" w:hAnsi="Arial"/>
          <w:sz w:val="17"/>
          <w:szCs w:val="17"/>
          <w:color w:val="auto"/>
        </w:rPr>
        <w:t>(i) the ARM IP that subsists in the Architecture Reference Manuals;</w:t>
      </w:r>
    </w:p>
    <w:p>
      <w:pPr>
        <w:spacing w:after="0" w:line="14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the AVS IP;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(iii)  any Necessary Claims in any Patents Controlled by the ARM Group,</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but excluding any Trade Marks;</w:t>
      </w:r>
    </w:p>
    <w:p>
      <w:pPr>
        <w:sectPr>
          <w:pgSz w:w="11900" w:h="16838" w:orient="portrait"/>
          <w:cols w:equalWidth="0" w:num="1">
            <w:col w:w="10800"/>
          </w:cols>
          <w:pgMar w:left="440" w:top="270" w:right="6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Architecture License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means any licensing arrangement between JVCo and a PRC Licensee with respect to any ARM Architecture for the development of Architecture Compliant Cores;</w:t>
      </w:r>
    </w:p>
    <w:p>
      <w:pPr>
        <w:spacing w:after="0" w:line="58" w:lineRule="exact"/>
        <w:rPr>
          <w:sz w:val="20"/>
          <w:szCs w:val="20"/>
          <w:color w:val="auto"/>
        </w:rPr>
      </w:pPr>
    </w:p>
    <w:p>
      <w:pPr>
        <w:sectPr>
          <w:pgSz w:w="11900" w:h="16838" w:orient="portrait"/>
          <w:cols w:equalWidth="0" w:num="2">
            <w:col w:w="1760" w:space="660"/>
            <w:col w:w="8380"/>
          </w:cols>
          <w:pgMar w:left="440" w:top="270" w:right="659" w:bottom="1440" w:gutter="0" w:footer="0" w:header="0"/>
          <w:type w:val="continuous"/>
        </w:sect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Architecture Reference</w:t>
      </w:r>
      <w:r>
        <w:rPr>
          <w:rFonts w:ascii="Arial" w:cs="Arial" w:eastAsia="Arial" w:hAnsi="Arial"/>
          <w:sz w:val="18"/>
          <w:szCs w:val="18"/>
          <w:color w:val="auto"/>
        </w:rPr>
        <w:t xml:space="preserve"> </w:t>
      </w:r>
      <w:r>
        <w:rPr>
          <w:rFonts w:ascii="Arial" w:cs="Arial" w:eastAsia="Arial" w:hAnsi="Arial"/>
          <w:sz w:val="18"/>
          <w:szCs w:val="18"/>
          <w:b w:val="1"/>
          <w:bCs w:val="1"/>
          <w:color w:val="auto"/>
        </w:rPr>
        <w:t>Manuals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means, from time to time, the architecture reference manuals that relate to any of the Licensed ARM Architectures (being, at the date of this Agreement, the manuals with document numbers:</w:t>
      </w:r>
    </w:p>
    <w:p>
      <w:pPr>
        <w:spacing w:after="0" w:line="75" w:lineRule="exact"/>
        <w:rPr>
          <w:sz w:val="20"/>
          <w:szCs w:val="20"/>
          <w:color w:val="auto"/>
        </w:rPr>
      </w:pPr>
    </w:p>
    <w:p>
      <w:pPr>
        <w:sectPr>
          <w:pgSz w:w="11900" w:h="16838" w:orient="portrait"/>
          <w:cols w:equalWidth="0" w:num="2">
            <w:col w:w="1860" w:space="560"/>
            <w:col w:w="8380"/>
          </w:cols>
          <w:pgMar w:left="440" w:top="270" w:right="659" w:bottom="1440" w:gutter="0" w:footer="0" w:header="0"/>
          <w:type w:val="continuous"/>
        </w:sectPr>
      </w:pPr>
    </w:p>
    <w:p>
      <w:pPr>
        <w:ind w:left="2420"/>
        <w:spacing w:after="0"/>
        <w:rPr>
          <w:sz w:val="20"/>
          <w:szCs w:val="20"/>
          <w:color w:val="auto"/>
        </w:rPr>
      </w:pPr>
      <w:r>
        <w:rPr>
          <w:rFonts w:ascii="Arial" w:cs="Arial" w:eastAsia="Arial" w:hAnsi="Arial"/>
          <w:sz w:val="18"/>
          <w:szCs w:val="18"/>
          <w:color w:val="auto"/>
        </w:rPr>
        <w:t>(i) [***];</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800"/>
          </w:cols>
          <w:pgMar w:left="440" w:top="270" w:right="659" w:bottom="1440" w:gutter="0" w:footer="0" w:header="0"/>
          <w:type w:val="continuous"/>
        </w:sectPr>
      </w:pPr>
    </w:p>
    <w:bookmarkStart w:id="297" w:name="page298"/>
    <w:bookmarkEnd w:id="29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the Recitals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-201295</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1700" w:space="720"/>
            <w:col w:w="8580"/>
          </w:cols>
          <w:pgMar w:left="440" w:top="270" w:right="459" w:bottom="1440" w:gutter="0" w:footer="0" w:header="0"/>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ARM Architectures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instruction set architectures developed by, or on behalf of, the ARM Group;</w:t>
      </w:r>
    </w:p>
    <w:p>
      <w:pPr>
        <w:spacing w:after="0" w:line="13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ARM Brand Trade Marks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40"/>
        <w:spacing w:after="0" w:line="308" w:lineRule="auto"/>
        <w:rPr>
          <w:sz w:val="20"/>
          <w:szCs w:val="20"/>
          <w:color w:val="auto"/>
        </w:rPr>
      </w:pPr>
      <w:r>
        <w:rPr>
          <w:rFonts w:ascii="Arial" w:cs="Arial" w:eastAsia="Arial" w:hAnsi="Arial"/>
          <w:sz w:val="17"/>
          <w:szCs w:val="17"/>
          <w:color w:val="auto"/>
        </w:rPr>
        <w:t>means any Trade Marks that constitute ARM IP and subsist in the “Arm” name and the brand names used by ARM, from time to time, with respect to the Original ARM Products and the ARM Derivative Products;</w:t>
      </w:r>
    </w:p>
    <w:p>
      <w:pPr>
        <w:spacing w:after="0" w:line="34" w:lineRule="exact"/>
        <w:rPr>
          <w:sz w:val="20"/>
          <w:szCs w:val="20"/>
          <w:color w:val="auto"/>
        </w:rPr>
      </w:pPr>
    </w:p>
    <w:p>
      <w:pPr>
        <w:sectPr>
          <w:pgSz w:w="11900" w:h="16838" w:orient="portrait"/>
          <w:cols w:equalWidth="0" w:num="2">
            <w:col w:w="2180" w:space="24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“ARM Charge”</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means the amount payable by ARM to JVCo in accordance with Clause 23.2, as calculated in accordance with Part C of Schedule 2;</w:t>
      </w:r>
    </w:p>
    <w:p>
      <w:pPr>
        <w:spacing w:after="0" w:line="58"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ind w:right="3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ARM Compliant</w:t>
      </w:r>
      <w:r>
        <w:rPr>
          <w:rFonts w:ascii="Arial" w:cs="Arial" w:eastAsia="Arial" w:hAnsi="Arial"/>
          <w:sz w:val="17"/>
          <w:szCs w:val="17"/>
          <w:color w:val="auto"/>
        </w:rPr>
        <w:t xml:space="preserve"> </w:t>
      </w:r>
      <w:r>
        <w:rPr>
          <w:rFonts w:ascii="Arial" w:cs="Arial" w:eastAsia="Arial" w:hAnsi="Arial"/>
          <w:sz w:val="17"/>
          <w:szCs w:val="17"/>
          <w:b w:val="1"/>
          <w:bCs w:val="1"/>
          <w:color w:val="auto"/>
        </w:rPr>
        <w:t>Product(s)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with respect to the JVCo Licensed Products, the products that meet the requirements of the definition of “ARM Compliant Products” in the relevant ARM Model License for that JVCo Licensed Product;</w:t>
      </w:r>
    </w:p>
    <w:p>
      <w:pPr>
        <w:spacing w:after="0" w:line="58"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ARM Consequences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the Joint Venture Contract;</w:t>
      </w:r>
    </w:p>
    <w:p>
      <w:pPr>
        <w:spacing w:after="0" w:line="4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type w:val="continuous"/>
        </w:sectPr>
      </w:pPr>
    </w:p>
    <w:p>
      <w:pPr>
        <w:spacing w:after="0" w:line="122"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ARM Derivative</w:t>
      </w:r>
      <w:r>
        <w:rPr>
          <w:rFonts w:ascii="Arial" w:cs="Arial" w:eastAsia="Arial" w:hAnsi="Arial"/>
          <w:sz w:val="17"/>
          <w:szCs w:val="17"/>
          <w:color w:val="auto"/>
        </w:rPr>
        <w:t xml:space="preserve"> </w:t>
      </w:r>
      <w:r>
        <w:rPr>
          <w:rFonts w:ascii="Arial" w:cs="Arial" w:eastAsia="Arial" w:hAnsi="Arial"/>
          <w:sz w:val="17"/>
          <w:szCs w:val="17"/>
          <w:b w:val="1"/>
          <w:bCs w:val="1"/>
          <w:color w:val="auto"/>
        </w:rPr>
        <w:t>Product(s)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means any technology developed by, on behalf of, the ARM Group, or otherwise licensed, provided, or made available, by the ARM Group, the exploitation of which would (in the absence of the licenses granted pursuant to this Agreement) infringe any Intellectual Property that is owned by JVCo (or licensed to JVCo by a third party) and licensed to ARM pursuant to this Agreement (excluding the Co-owned IP and, for the avoidance of doubt, the ARM Licensed IP);</w:t>
      </w:r>
    </w:p>
    <w:p>
      <w:pPr>
        <w:spacing w:after="0" w:line="7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ARM Documentation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means any written documentation developed by, or on behalf of, ARM, from time to time, that provides guidance on the Original ARM Products and the ARM Derivative Products, which documentation includes the Architecture Reference Manuals;</w:t>
      </w:r>
    </w:p>
    <w:p>
      <w:pPr>
        <w:spacing w:after="0" w:line="72" w:lineRule="exact"/>
        <w:rPr>
          <w:sz w:val="20"/>
          <w:szCs w:val="20"/>
          <w:color w:val="auto"/>
        </w:rPr>
      </w:pPr>
    </w:p>
    <w:p>
      <w:pPr>
        <w:sectPr>
          <w:pgSz w:w="11900" w:h="16838" w:orient="portrait"/>
          <w:cols w:equalWidth="0" w:num="2">
            <w:col w:w="1800" w:space="6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 Group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65"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ind w:left="2420"/>
        <w:spacing w:after="0"/>
        <w:rPr>
          <w:sz w:val="20"/>
          <w:szCs w:val="20"/>
          <w:color w:val="auto"/>
        </w:rPr>
      </w:pPr>
      <w:r>
        <w:rPr>
          <w:rFonts w:ascii="Arial" w:cs="Arial" w:eastAsia="Arial" w:hAnsi="Arial"/>
          <w:sz w:val="18"/>
          <w:szCs w:val="18"/>
          <w:color w:val="auto"/>
        </w:rPr>
        <w:t>(i) ARM;</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all Subsidiaries of ARM;</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(iii)  ARM Holdings plc for so long as ARM Holdings plc owns more than 50% of the shares of ARM; and</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(iv) all Subsidiaries of ARM Holdings plc as at the date of the Investment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type w:val="continuous"/>
        </w:sectPr>
      </w:pPr>
    </w:p>
    <w:bookmarkStart w:id="298" w:name="page299"/>
    <w:bookmarkEnd w:id="298"/>
    <w:p>
      <w:pPr>
        <w:spacing w:after="0"/>
        <w:tabs>
          <w:tab w:leader="none" w:pos="2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ARM Infringement Suit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has the meaning given to that term in Clause 18.1;</w:t>
      </w:r>
    </w:p>
    <w:p>
      <w:pPr>
        <w:spacing w:after="0" w:line="117"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 IP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Intellectual Property that, from time to time, is Controlled by the ARM Group;</w:t>
      </w:r>
    </w:p>
    <w:p>
      <w:pPr>
        <w:spacing w:after="0" w:line="117"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 Licensed IP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the rights licensed by ARM to JVCo under this Agreement, being the:</w:t>
      </w:r>
    </w:p>
    <w:p>
      <w:pPr>
        <w:spacing w:after="0" w:line="13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(i) Architecture IP;</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Product IP;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ARM Brand Trade Marks;</w:t>
      </w:r>
    </w:p>
    <w:p>
      <w:pPr>
        <w:spacing w:after="0" w:line="127" w:lineRule="exact"/>
        <w:rPr>
          <w:sz w:val="20"/>
          <w:szCs w:val="20"/>
          <w:color w:val="auto"/>
        </w:rPr>
      </w:pPr>
    </w:p>
    <w:p>
      <w:pPr>
        <w:ind w:left="2420" w:hanging="2429"/>
        <w:spacing w:after="0" w:line="263" w:lineRule="auto"/>
        <w:tabs>
          <w:tab w:leader="none" w:pos="2400" w:val="left"/>
        </w:tabs>
        <w:rPr>
          <w:sz w:val="20"/>
          <w:szCs w:val="20"/>
          <w:color w:val="auto"/>
        </w:rPr>
      </w:pPr>
      <w:r>
        <w:rPr>
          <w:rFonts w:ascii="Arial" w:cs="Arial" w:eastAsia="Arial" w:hAnsi="Arial"/>
          <w:sz w:val="18"/>
          <w:szCs w:val="18"/>
          <w:b w:val="1"/>
          <w:bCs w:val="1"/>
          <w:color w:val="auto"/>
        </w:rPr>
        <w:t>“ARM Licensee Claim”</w:t>
      </w:r>
      <w:r>
        <w:rPr>
          <w:sz w:val="20"/>
          <w:szCs w:val="20"/>
          <w:color w:val="auto"/>
        </w:rPr>
        <w:tab/>
      </w:r>
      <w:r>
        <w:rPr>
          <w:rFonts w:ascii="Arial" w:cs="Arial" w:eastAsia="Arial" w:hAnsi="Arial"/>
          <w:sz w:val="18"/>
          <w:szCs w:val="18"/>
          <w:color w:val="auto"/>
        </w:rPr>
        <w:t>means a claim brought by a Non-PRC Licensee against ARM in connection with a license agreement for a JVCo Licensed Product, whether for breach of contract, tort (including negligence), as an ARM Licensee Indemnity Claim or otherwise;</w:t>
      </w:r>
    </w:p>
    <w:p>
      <w:pPr>
        <w:spacing w:after="0" w:line="76" w:lineRule="exact"/>
        <w:rPr>
          <w:sz w:val="20"/>
          <w:szCs w:val="20"/>
          <w:color w:val="auto"/>
        </w:rPr>
      </w:pPr>
    </w:p>
    <w:p>
      <w:pPr>
        <w:ind w:right="49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 Licensee Indemnity</w:t>
      </w:r>
      <w:r>
        <w:rPr>
          <w:rFonts w:ascii="Arial" w:cs="Arial" w:eastAsia="Arial" w:hAnsi="Arial"/>
          <w:sz w:val="18"/>
          <w:szCs w:val="18"/>
          <w:color w:val="auto"/>
        </w:rPr>
        <w:t xml:space="preserve"> has the meaning given to that term in Clause 18.2; </w:t>
      </w:r>
      <w:r>
        <w:rPr>
          <w:rFonts w:ascii="Arial" w:cs="Arial" w:eastAsia="Arial" w:hAnsi="Arial"/>
          <w:sz w:val="18"/>
          <w:szCs w:val="18"/>
          <w:b w:val="1"/>
          <w:bCs w:val="1"/>
          <w:color w:val="auto"/>
        </w:rPr>
        <w:t>Claim</w:t>
      </w:r>
      <w:r>
        <w:rPr>
          <w:rFonts w:ascii="Arial" w:cs="Arial" w:eastAsia="Arial" w:hAnsi="Arial"/>
          <w:sz w:val="18"/>
          <w:szCs w:val="18"/>
          <w:color w:val="auto"/>
        </w:rPr>
        <w:t>”</w:t>
      </w:r>
    </w:p>
    <w:p>
      <w:pPr>
        <w:spacing w:after="0" w:line="54"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 Model Licenses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from time to time:</w:t>
      </w:r>
    </w:p>
    <w:p>
      <w:pPr>
        <w:spacing w:after="0" w:line="135" w:lineRule="exact"/>
        <w:rPr>
          <w:sz w:val="20"/>
          <w:szCs w:val="20"/>
          <w:color w:val="auto"/>
        </w:rPr>
      </w:pPr>
    </w:p>
    <w:p>
      <w:pPr>
        <w:ind w:left="2780" w:right="240" w:hanging="359"/>
        <w:spacing w:after="0" w:line="263" w:lineRule="auto"/>
        <w:rPr>
          <w:sz w:val="20"/>
          <w:szCs w:val="20"/>
          <w:color w:val="auto"/>
        </w:rPr>
      </w:pPr>
      <w:r>
        <w:rPr>
          <w:rFonts w:ascii="Arial" w:cs="Arial" w:eastAsia="Arial" w:hAnsi="Arial"/>
          <w:sz w:val="18"/>
          <w:szCs w:val="18"/>
          <w:color w:val="auto"/>
        </w:rPr>
        <w:t>(i) with respect to each Original ARM Product and each ARM Derivative Product derived from a Derivative Product, the template license agreement (as provided by ARM to JVCo) that sets out the terms on which ARM licenses that particular technology to its licensees; and</w:t>
      </w:r>
    </w:p>
    <w:p>
      <w:pPr>
        <w:spacing w:after="0" w:line="89" w:lineRule="exact"/>
        <w:rPr>
          <w:sz w:val="20"/>
          <w:szCs w:val="20"/>
          <w:color w:val="auto"/>
        </w:rPr>
      </w:pPr>
    </w:p>
    <w:p>
      <w:pPr>
        <w:ind w:left="2780" w:right="280" w:hanging="359"/>
        <w:spacing w:after="0" w:line="263" w:lineRule="auto"/>
        <w:rPr>
          <w:sz w:val="20"/>
          <w:szCs w:val="20"/>
          <w:color w:val="auto"/>
        </w:rPr>
      </w:pPr>
      <w:r>
        <w:rPr>
          <w:rFonts w:ascii="Arial" w:cs="Arial" w:eastAsia="Arial" w:hAnsi="Arial"/>
          <w:sz w:val="18"/>
          <w:szCs w:val="18"/>
          <w:color w:val="auto"/>
        </w:rPr>
        <w:t>(ii)  with respect to each Derivative Product, the template license agreement (as provided by ARM to JVCo) that is substantially similar to the equivalent license under limb (i) for the most closely equivalent Original ARM Product;</w:t>
      </w:r>
    </w:p>
    <w:p>
      <w:pPr>
        <w:spacing w:after="0" w:line="85"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b w:val="1"/>
          <w:bCs w:val="1"/>
          <w:color w:val="auto"/>
        </w:rPr>
        <w:t>“ARM Product and Market</w:t>
      </w:r>
      <w:r>
        <w:rPr>
          <w:sz w:val="20"/>
          <w:szCs w:val="20"/>
          <w:color w:val="auto"/>
        </w:rPr>
        <w:tab/>
      </w:r>
      <w:r>
        <w:rPr>
          <w:rFonts w:ascii="Arial" w:cs="Arial" w:eastAsia="Arial" w:hAnsi="Arial"/>
          <w:sz w:val="15"/>
          <w:szCs w:val="15"/>
          <w:color w:val="auto"/>
        </w:rPr>
        <w:t>means:</w:t>
      </w:r>
    </w:p>
    <w:p>
      <w:pPr>
        <w:spacing w:after="0" w:line="184" w:lineRule="auto"/>
        <w:rPr>
          <w:sz w:val="20"/>
          <w:szCs w:val="20"/>
          <w:color w:val="auto"/>
        </w:rPr>
      </w:pPr>
      <w:r>
        <w:rPr>
          <w:rFonts w:ascii="Arial" w:cs="Arial" w:eastAsia="Arial" w:hAnsi="Arial"/>
          <w:sz w:val="17"/>
          <w:szCs w:val="17"/>
          <w:b w:val="1"/>
          <w:bCs w:val="1"/>
          <w:color w:val="auto"/>
        </w:rPr>
        <w:t>Data”</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(i) roadmap information of ARM or any PRC Licensee that pertains to ARM Semiconductor Technology;</w:t>
      </w:r>
    </w:p>
    <w:p>
      <w:pPr>
        <w:spacing w:after="0" w:line="11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customer plans that pertain to ARM Semiconductor Technology;</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technical engineering discussions relating to existing or future ARM Semiconductor Technology;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(iv) software systems and platforms which may need to be supported by ARM Semiconductor Technology;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99" w:name="page300"/>
    <w:bookmarkEnd w:id="299"/>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ARM Semiconductor</w:t>
      </w:r>
      <w:r>
        <w:rPr>
          <w:rFonts w:ascii="Arial" w:cs="Arial" w:eastAsia="Arial" w:hAnsi="Arial"/>
          <w:sz w:val="16"/>
          <w:szCs w:val="16"/>
          <w:color w:val="auto"/>
        </w:rPr>
        <w:t xml:space="preserve"> </w:t>
      </w:r>
      <w:r>
        <w:rPr>
          <w:rFonts w:ascii="Arial" w:cs="Arial" w:eastAsia="Arial" w:hAnsi="Arial"/>
          <w:sz w:val="16"/>
          <w:szCs w:val="16"/>
          <w:b w:val="1"/>
          <w:bCs w:val="1"/>
          <w:color w:val="auto"/>
        </w:rPr>
        <w:t>Technology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460"/>
        <w:spacing w:after="0" w:line="259" w:lineRule="auto"/>
        <w:rPr>
          <w:sz w:val="20"/>
          <w:szCs w:val="20"/>
          <w:color w:val="auto"/>
        </w:rPr>
      </w:pPr>
      <w:r>
        <w:rPr>
          <w:rFonts w:ascii="Arial" w:cs="Arial" w:eastAsia="Arial" w:hAnsi="Arial"/>
          <w:sz w:val="18"/>
          <w:szCs w:val="18"/>
          <w:color w:val="auto"/>
        </w:rPr>
        <w:t>means, from time to time, Semiconductor Technology that is developed by, or on behalf of, the ARM Group or otherwise licensed, provided, or made available, by the ARM Group (including, for the avoidance of doubt, the Licensed ARM Architectures) but excluding any Semiconductor Technology that subsists within the Excluded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-652145</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720" w:space="700"/>
            <w:col w:w="8480"/>
          </w:cols>
          <w:pgMar w:left="440" w:top="270" w:right="559" w:bottom="1440" w:gutter="0" w:footer="0" w:header="0"/>
        </w:sect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ARM Semiconductor</w:t>
      </w:r>
      <w:r>
        <w:rPr>
          <w:rFonts w:ascii="Arial" w:cs="Arial" w:eastAsia="Arial" w:hAnsi="Arial"/>
          <w:sz w:val="16"/>
          <w:szCs w:val="16"/>
          <w:color w:val="auto"/>
        </w:rPr>
        <w:t xml:space="preserve"> </w:t>
      </w:r>
      <w:r>
        <w:rPr>
          <w:rFonts w:ascii="Arial" w:cs="Arial" w:eastAsia="Arial" w:hAnsi="Arial"/>
          <w:sz w:val="16"/>
          <w:szCs w:val="16"/>
          <w:b w:val="1"/>
          <w:bCs w:val="1"/>
          <w:color w:val="auto"/>
        </w:rPr>
        <w:t>Technology IP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ARM IP that, from time to time, subsists in ARM Semiconductor Technology;</w:t>
      </w:r>
    </w:p>
    <w:p>
      <w:pPr>
        <w:spacing w:after="0" w:line="352" w:lineRule="exact"/>
        <w:rPr>
          <w:sz w:val="20"/>
          <w:szCs w:val="20"/>
          <w:color w:val="auto"/>
        </w:rPr>
      </w:pPr>
    </w:p>
    <w:p>
      <w:pPr>
        <w:sectPr>
          <w:pgSz w:w="11900" w:h="16838" w:orient="portrait"/>
          <w:cols w:equalWidth="0" w:num="2">
            <w:col w:w="1720" w:space="70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ARM Update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any:</w:t>
      </w:r>
    </w:p>
    <w:p>
      <w:pPr>
        <w:spacing w:after="0" w:line="165"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ind w:left="2420"/>
        <w:spacing w:after="0"/>
        <w:rPr>
          <w:sz w:val="20"/>
          <w:szCs w:val="20"/>
          <w:color w:val="auto"/>
        </w:rPr>
      </w:pPr>
      <w:r>
        <w:rPr>
          <w:rFonts w:ascii="Arial" w:cs="Arial" w:eastAsia="Arial" w:hAnsi="Arial"/>
          <w:sz w:val="18"/>
          <w:szCs w:val="18"/>
          <w:color w:val="auto"/>
        </w:rPr>
        <w:t>(i) error corrections developed by or for the ARM Group; and</w:t>
      </w:r>
    </w:p>
    <w:p>
      <w:pPr>
        <w:spacing w:after="0" w:line="131" w:lineRule="exact"/>
        <w:rPr>
          <w:sz w:val="20"/>
          <w:szCs w:val="20"/>
          <w:color w:val="auto"/>
        </w:rPr>
      </w:pPr>
    </w:p>
    <w:p>
      <w:pPr>
        <w:ind w:left="2780" w:right="600" w:hanging="359"/>
        <w:spacing w:after="0" w:line="277" w:lineRule="auto"/>
        <w:rPr>
          <w:sz w:val="20"/>
          <w:szCs w:val="20"/>
          <w:color w:val="auto"/>
        </w:rPr>
      </w:pPr>
      <w:r>
        <w:rPr>
          <w:rFonts w:ascii="Arial" w:cs="Arial" w:eastAsia="Arial" w:hAnsi="Arial"/>
          <w:sz w:val="18"/>
          <w:szCs w:val="18"/>
          <w:color w:val="auto"/>
        </w:rPr>
        <w:t>(ii)  functional enhancements or other modifications developed by or for the ARM Group (which ARM in its discretion decides does not constitute a new product),</w:t>
      </w:r>
    </w:p>
    <w:p>
      <w:pPr>
        <w:spacing w:after="0" w:line="7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each case, together with any ARM IP embodied therein;</w:t>
      </w:r>
    </w:p>
    <w:p>
      <w:pPr>
        <w:sectPr>
          <w:pgSz w:w="11900" w:h="16838" w:orient="portrait"/>
          <w:cols w:equalWidth="0" w:num="1">
            <w:col w:w="10900"/>
          </w:cols>
          <w:pgMar w:left="440" w:top="270" w:right="5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Assert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means to bring an action of any nature before any legal, judicial, arbitral, administrative, executive or other type of body or tribunal that has, or claims to have, authority to adjudicate such action in whole or in part;</w:t>
      </w:r>
    </w:p>
    <w:p>
      <w:pPr>
        <w:spacing w:after="0" w:line="34"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Assisting Party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22.2.1(i);</w:t>
      </w:r>
    </w:p>
    <w:p>
      <w:pPr>
        <w:spacing w:after="0" w:line="136"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Associated Person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in relation to a body corporate the members of its Group and the officers, employees and agents of that body corporate and any member of its Group and any subcontractor or other person who performs services for or on behalf of that body corporate or any member of its Group;</w:t>
      </w:r>
    </w:p>
    <w:p>
      <w:pPr>
        <w:spacing w:after="0" w:line="72"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25.1;</w:t>
      </w:r>
    </w:p>
    <w:p>
      <w:pPr>
        <w:spacing w:after="0" w:line="136"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AVS IP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ARM IP that, from time to time, subsists in any ARM architectural validation suite that relates to a Licensed ARM Architecture including any ARM architectural validation suite for cryptography extensions (in each case, including, where relevant, source code, build support, user documentation and a suitable target run-time environment, which includes an instruction set simulator, for its execution);</w:t>
      </w:r>
    </w:p>
    <w:p>
      <w:pPr>
        <w:spacing w:after="0" w:line="119"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00"/>
          </w:cols>
          <w:pgMar w:left="440" w:top="270" w:right="559" w:bottom="1440" w:gutter="0" w:footer="0" w:header="0"/>
          <w:type w:val="continuous"/>
        </w:sectPr>
      </w:pPr>
    </w:p>
    <w:bookmarkStart w:id="300" w:name="page301"/>
    <w:bookmarkEnd w:id="300"/>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Bookings Forecast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means a forecast of the total monetary value (based on License Fees) of the license agreements that JVCo or ARM (as applicable) anticipates that it will enter into for the remainder of the Calendar Quarter in which the forecast is given and the following four Calendar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-516890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1700" w:space="720"/>
            <w:col w:w="8560"/>
          </w:cols>
          <w:pgMar w:left="440" w:top="270" w:right="47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20"/>
        <w:spacing w:after="0" w:line="263" w:lineRule="auto"/>
        <w:rPr>
          <w:sz w:val="20"/>
          <w:szCs w:val="20"/>
          <w:color w:val="auto"/>
        </w:rPr>
      </w:pPr>
      <w:r>
        <w:rPr>
          <w:rFonts w:ascii="Arial" w:cs="Arial" w:eastAsia="Arial" w:hAnsi="Arial"/>
          <w:sz w:val="18"/>
          <w:szCs w:val="18"/>
          <w:color w:val="auto"/>
        </w:rPr>
        <w:t>means any day, other than a Saturday, Sunday or any day which is a legal holiday under the Applicable Law of the PRC or London or is a day on which banking institutions located in Shenzhen, PRC, or London are authorised or required by Applicable Law to close;</w:t>
      </w:r>
    </w:p>
    <w:p>
      <w:pPr>
        <w:spacing w:after="0" w:line="72"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Plan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the Joint Venture Contract;</w:t>
      </w:r>
    </w:p>
    <w:p>
      <w:pPr>
        <w:spacing w:after="0" w:line="136"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Breaching Party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29.1;</w:t>
      </w:r>
    </w:p>
    <w:p>
      <w:pPr>
        <w:spacing w:after="0" w:line="136"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means each of the four periods of three consecutive calendar months, starting on 1 January, 1 April, 1 July and 1 October;</w:t>
      </w:r>
    </w:p>
    <w:p>
      <w:pPr>
        <w:spacing w:after="0" w:line="58"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the Investment Agreement;</w:t>
      </w:r>
    </w:p>
    <w:p>
      <w:pPr>
        <w:spacing w:after="0" w:line="136"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means, solely to the extent that is used to describe types of license grants: (i) licenses that are granted in return for payment of royalty, fees or other monetary compensation or benefits that bear a direct commercial value to the licensing party, and (ii) other licenses that are granted directly in anticipation or preparation of the licenses described in (i), including evaluation and trial licenses;</w:t>
      </w:r>
    </w:p>
    <w:p>
      <w:pPr>
        <w:spacing w:after="0" w:line="75"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Name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means Arm Technology (China) Co. Ltd and the trading name of JVCo (in each case, as amended from time to time in accordance with the Joint Venture Contract);</w:t>
      </w:r>
    </w:p>
    <w:p>
      <w:pPr>
        <w:spacing w:after="0" w:line="58"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Architecture</w:t>
      </w:r>
      <w:r>
        <w:rPr>
          <w:rFonts w:ascii="Arial" w:cs="Arial" w:eastAsia="Arial" w:hAnsi="Arial"/>
          <w:sz w:val="18"/>
          <w:szCs w:val="18"/>
          <w:color w:val="auto"/>
        </w:rPr>
        <w:t xml:space="preserve"> </w:t>
      </w:r>
      <w:r>
        <w:rPr>
          <w:rFonts w:ascii="Arial" w:cs="Arial" w:eastAsia="Arial" w:hAnsi="Arial"/>
          <w:sz w:val="18"/>
          <w:szCs w:val="18"/>
          <w:b w:val="1"/>
          <w:bCs w:val="1"/>
          <w:color w:val="auto"/>
        </w:rPr>
        <w:t>License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360"/>
        <w:spacing w:after="0" w:line="263" w:lineRule="auto"/>
        <w:rPr>
          <w:sz w:val="20"/>
          <w:szCs w:val="20"/>
          <w:color w:val="auto"/>
        </w:rPr>
      </w:pPr>
      <w:r>
        <w:rPr>
          <w:rFonts w:ascii="Arial" w:cs="Arial" w:eastAsia="Arial" w:hAnsi="Arial"/>
          <w:sz w:val="18"/>
          <w:szCs w:val="18"/>
          <w:color w:val="auto"/>
        </w:rPr>
        <w:t>means any Architecture License granted by ARM (or a member of the ARM Group) to a PRC Licensee where the terms of that Architecture License are broadly comparable to the rights granted by ARM to JVCo under this Agreement;</w:t>
      </w:r>
    </w:p>
    <w:p>
      <w:pPr>
        <w:spacing w:after="0" w:line="72" w:lineRule="exact"/>
        <w:rPr>
          <w:sz w:val="20"/>
          <w:szCs w:val="20"/>
          <w:color w:val="auto"/>
        </w:rPr>
      </w:pPr>
    </w:p>
    <w:p>
      <w:pPr>
        <w:sectPr>
          <w:pgSz w:w="11900" w:h="16838" w:orient="portrait"/>
          <w:cols w:equalWidth="0" w:num="2">
            <w:col w:w="2060" w:space="36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64" w:lineRule="exact"/>
        <w:rPr>
          <w:sz w:val="20"/>
          <w:szCs w:val="20"/>
          <w:color w:val="auto"/>
        </w:rPr>
      </w:pPr>
    </w:p>
    <w:p>
      <w:pPr>
        <w:sectPr>
          <w:pgSz w:w="11900" w:h="16838" w:orient="portrait"/>
          <w:cols w:equalWidth="0" w:num="2">
            <w:col w:w="2100" w:space="320"/>
            <w:col w:w="8560"/>
          </w:cols>
          <w:pgMar w:left="440" w:top="270" w:right="479" w:bottom="1440" w:gutter="0" w:footer="0" w:header="0"/>
          <w:type w:val="continuous"/>
        </w:sectPr>
      </w:pPr>
    </w:p>
    <w:p>
      <w:pPr>
        <w:ind w:left="2780" w:hanging="359"/>
        <w:spacing w:after="0" w:line="255" w:lineRule="auto"/>
        <w:rPr>
          <w:sz w:val="20"/>
          <w:szCs w:val="20"/>
          <w:color w:val="auto"/>
        </w:rPr>
      </w:pPr>
      <w:r>
        <w:rPr>
          <w:rFonts w:ascii="Arial" w:cs="Arial" w:eastAsia="Arial" w:hAnsi="Arial"/>
          <w:sz w:val="18"/>
          <w:szCs w:val="18"/>
          <w:color w:val="auto"/>
        </w:rPr>
        <w:t>(i) the Original ARM Products, the ARM Derivative Products, the Derivative Products and the Independent Products (including any translation, modification, compilation, abridgement or other form in which the Original ARM Product, the ARM Derivative Product, the Derivative Product or the Independent Product has been recast, transformed or adapted, including Architecture Compliant Cores but excluding silicon) and any trade secrets relating to the Original ARM Products, the ARM Derivative Products, the Derivative Products and the Independent Products;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type w:val="continuous"/>
        </w:sectPr>
      </w:pPr>
    </w:p>
    <w:bookmarkStart w:id="301" w:name="page302"/>
    <w:bookmarkEnd w:id="301"/>
    <w:p>
      <w:pPr>
        <w:ind w:left="2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any information designated in writing by either Party, by appropriate legend, as confidential;</w:t>
      </w:r>
    </w:p>
    <w:p>
      <w:pPr>
        <w:spacing w:after="0" w:line="131" w:lineRule="exact"/>
        <w:rPr>
          <w:sz w:val="20"/>
          <w:szCs w:val="20"/>
          <w:color w:val="auto"/>
        </w:rPr>
      </w:pPr>
    </w:p>
    <w:p>
      <w:pPr>
        <w:ind w:left="2780" w:hanging="359"/>
        <w:spacing w:after="0" w:line="263" w:lineRule="auto"/>
        <w:rPr>
          <w:sz w:val="20"/>
          <w:szCs w:val="20"/>
          <w:color w:val="auto"/>
        </w:rPr>
      </w:pPr>
      <w:r>
        <w:rPr>
          <w:rFonts w:ascii="Arial" w:cs="Arial" w:eastAsia="Arial" w:hAnsi="Arial"/>
          <w:sz w:val="18"/>
          <w:szCs w:val="18"/>
          <w:color w:val="auto"/>
        </w:rPr>
        <w:t>(iii)  any information which if first disclosed orally is identified as confidential at the time of disclosure and is thereafter reduced to writing and sent to the other Party within [***] days after its oral disclosure and designated, by appropriate legend, as confidential; and</w:t>
      </w:r>
    </w:p>
    <w:p>
      <w:pPr>
        <w:spacing w:after="0" w:line="8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(iv) the terms and conditions of this Agreement and the Co-ownership Deed;</w:t>
      </w:r>
    </w:p>
    <w:p>
      <w:pPr>
        <w:spacing w:after="0" w:line="127"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with respect to a person, any Intellectual Property that such person (or any of its wholly owned Subsidiaries):</w:t>
      </w:r>
    </w:p>
    <w:p>
      <w:pPr>
        <w:spacing w:after="0" w:line="13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(i) solely owns such Intellectual Property;</w:t>
      </w:r>
    </w:p>
    <w:p>
      <w:pPr>
        <w:spacing w:after="0" w:line="131" w:lineRule="exact"/>
        <w:rPr>
          <w:sz w:val="20"/>
          <w:szCs w:val="20"/>
          <w:color w:val="auto"/>
        </w:rPr>
      </w:pPr>
    </w:p>
    <w:p>
      <w:pPr>
        <w:ind w:left="2780" w:right="200" w:hanging="359"/>
        <w:spacing w:after="0" w:line="259" w:lineRule="auto"/>
        <w:rPr>
          <w:sz w:val="20"/>
          <w:szCs w:val="20"/>
          <w:color w:val="auto"/>
        </w:rPr>
      </w:pPr>
      <w:r>
        <w:rPr>
          <w:rFonts w:ascii="Arial" w:cs="Arial" w:eastAsia="Arial" w:hAnsi="Arial"/>
          <w:sz w:val="18"/>
          <w:szCs w:val="18"/>
          <w:color w:val="auto"/>
        </w:rPr>
        <w:t>(ii)  owns such Intellectual Property as co-owner and has rights to license such Intellectual Property on terms consistent with the terms set out in this Agreement without being obligated or otherwise required to pay any additional monetary or other financial consideration to any other person and/or obtain the consent of any other person (excluding the Co-owned IP); or</w:t>
      </w:r>
    </w:p>
    <w:p>
      <w:pPr>
        <w:spacing w:after="0" w:line="92" w:lineRule="exact"/>
        <w:rPr>
          <w:sz w:val="20"/>
          <w:szCs w:val="20"/>
          <w:color w:val="auto"/>
        </w:rPr>
      </w:pPr>
    </w:p>
    <w:p>
      <w:pPr>
        <w:ind w:left="2780" w:right="160" w:hanging="359"/>
        <w:spacing w:after="0" w:line="259" w:lineRule="auto"/>
        <w:rPr>
          <w:sz w:val="20"/>
          <w:szCs w:val="20"/>
          <w:color w:val="auto"/>
        </w:rPr>
      </w:pPr>
      <w:r>
        <w:rPr>
          <w:rFonts w:ascii="Arial" w:cs="Arial" w:eastAsia="Arial" w:hAnsi="Arial"/>
          <w:sz w:val="18"/>
          <w:szCs w:val="18"/>
          <w:color w:val="auto"/>
        </w:rPr>
        <w:t>(iii)  has a license (in writing or otherwise) to, together with rights to sub-license such Intellectual Property on terms consistent with the terms set out in this Agreement without being obligated or otherwise required to pay any additional monetary or other financial consideration to any other person and/or obtain the consent of any other person;</w:t>
      </w:r>
    </w:p>
    <w:p>
      <w:pPr>
        <w:spacing w:after="0" w:line="88"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Co-owned IP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(i) the Intellectual Property that is co-owned by: (a) ARM (or a member of the ARM Group) on one hand; and</w:t>
      </w:r>
    </w:p>
    <w:p>
      <w:pPr>
        <w:spacing w:after="0" w:line="27" w:lineRule="exact"/>
        <w:rPr>
          <w:sz w:val="20"/>
          <w:szCs w:val="20"/>
          <w:color w:val="auto"/>
        </w:rPr>
      </w:pPr>
    </w:p>
    <w:p>
      <w:pPr>
        <w:ind w:left="2420" w:right="120" w:firstLine="6"/>
        <w:spacing w:after="0" w:line="255" w:lineRule="auto"/>
        <w:tabs>
          <w:tab w:leader="none" w:pos="267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JVCo (or a member of the JVCo Group) on the other, pursuant to the Co-ownership Deed; and (ii) any other Intellectual Property that is co-owned by any member of the ARM Group and any member of the JVCo Group, from time to time;</w:t>
      </w:r>
    </w:p>
    <w:p>
      <w:pPr>
        <w:sectPr>
          <w:pgSz w:w="11900" w:h="16838" w:orient="portrait"/>
          <w:cols w:equalWidth="0" w:num="1">
            <w:col w:w="10940"/>
          </w:cols>
          <w:pgMar w:left="440" w:top="274" w:right="51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Co-ownership Deed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means the co-ownership deed between ARM, ARM Norway AS, Sunrise Micro Devices Inc and JVCo dated 24</w:t>
      </w:r>
      <w:r>
        <w:rPr>
          <w:rFonts w:ascii="Arial" w:cs="Arial" w:eastAsia="Arial" w:hAnsi="Arial"/>
          <w:sz w:val="13"/>
          <w:szCs w:val="13"/>
          <w:color w:val="auto"/>
        </w:rPr>
        <w:t>th</w:t>
      </w:r>
      <w:r>
        <w:rPr>
          <w:rFonts w:ascii="Arial" w:cs="Arial" w:eastAsia="Arial" w:hAnsi="Arial"/>
          <w:sz w:val="18"/>
          <w:szCs w:val="18"/>
          <w:color w:val="auto"/>
        </w:rPr>
        <w:t xml:space="preserve"> April 2018;</w:t>
      </w:r>
    </w:p>
    <w:p>
      <w:pPr>
        <w:spacing w:after="0" w:line="58" w:lineRule="exact"/>
        <w:rPr>
          <w:sz w:val="20"/>
          <w:szCs w:val="20"/>
          <w:color w:val="auto"/>
        </w:rPr>
      </w:pPr>
    </w:p>
    <w:p>
      <w:pPr>
        <w:sectPr>
          <w:pgSz w:w="11900" w:h="16838" w:orient="portrait"/>
          <w:cols w:equalWidth="0" w:num="2">
            <w:col w:w="1700" w:space="720"/>
            <w:col w:w="8520"/>
          </w:cols>
          <w:pgMar w:left="440" w:top="274" w:right="5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“Copyright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means (whether registered or not) any works of authorship, copyrights, database rights, mask work rights, integrated circuit layout designs and any registrations and applications therefor;</w:t>
      </w:r>
    </w:p>
    <w:p>
      <w:pPr>
        <w:spacing w:after="0" w:line="58" w:lineRule="exact"/>
        <w:rPr>
          <w:sz w:val="20"/>
          <w:szCs w:val="20"/>
          <w:color w:val="auto"/>
        </w:rPr>
      </w:pPr>
    </w:p>
    <w:p>
      <w:pPr>
        <w:sectPr>
          <w:pgSz w:w="11900" w:h="16838" w:orient="portrait"/>
          <w:cols w:equalWidth="0" w:num="2">
            <w:col w:w="1700" w:space="720"/>
            <w:col w:w="8520"/>
          </w:cols>
          <w:pgMar w:left="440" w:top="274" w:right="51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CPU Core(s)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 microprocessor core;</w:t>
      </w:r>
    </w:p>
    <w:p>
      <w:pPr>
        <w:spacing w:after="0" w:line="191" w:lineRule="exact"/>
        <w:rPr>
          <w:sz w:val="20"/>
          <w:szCs w:val="20"/>
          <w:color w:val="auto"/>
        </w:rPr>
      </w:pPr>
    </w:p>
    <w:p>
      <w:pPr>
        <w:sectPr>
          <w:pgSz w:w="11900" w:h="16838" w:orient="portrait"/>
          <w:cols w:equalWidth="0" w:num="2">
            <w:col w:w="1700" w:space="720"/>
            <w:col w:w="8520"/>
          </w:cols>
          <w:pgMar w:left="440" w:top="274" w:right="5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440" w:top="274" w:right="519" w:bottom="1440" w:gutter="0" w:footer="0" w:header="0"/>
          <w:type w:val="continuous"/>
        </w:sectPr>
      </w:pPr>
    </w:p>
    <w:bookmarkStart w:id="302" w:name="page303"/>
    <w:bookmarkEnd w:id="30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Derivative Product(s)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Services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Investor</w:t>
      </w:r>
      <w:r>
        <w:rPr>
          <w:rFonts w:ascii="Arial" w:cs="Arial" w:eastAsia="Arial" w:hAnsi="Arial"/>
          <w:sz w:val="18"/>
          <w:szCs w:val="18"/>
          <w:color w:val="auto"/>
        </w:rPr>
        <w:t>”</w:t>
      </w:r>
    </w:p>
    <w:p>
      <w:pPr>
        <w:spacing w:after="0" w:line="117" w:lineRule="exact"/>
        <w:rPr>
          <w:sz w:val="20"/>
          <w:szCs w:val="20"/>
          <w:color w:val="auto"/>
        </w:rPr>
      </w:pPr>
    </w:p>
    <w:p>
      <w:pPr>
        <w:ind w:right="5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Licensing</w:t>
      </w:r>
      <w:r>
        <w:rPr>
          <w:rFonts w:ascii="Arial" w:cs="Arial" w:eastAsia="Arial" w:hAnsi="Arial"/>
          <w:sz w:val="16"/>
          <w:szCs w:val="16"/>
          <w:color w:val="auto"/>
        </w:rPr>
        <w:t xml:space="preserve"> </w:t>
      </w:r>
      <w:r>
        <w:rPr>
          <w:rFonts w:ascii="Arial" w:cs="Arial" w:eastAsia="Arial" w:hAnsi="Arial"/>
          <w:sz w:val="16"/>
          <w:szCs w:val="16"/>
          <w:b w:val="1"/>
          <w:bCs w:val="1"/>
          <w:color w:val="auto"/>
        </w:rPr>
        <w:t>Arrangement</w:t>
      </w:r>
      <w:r>
        <w:rPr>
          <w:rFonts w:ascii="Arial" w:cs="Arial" w:eastAsia="Arial" w:hAnsi="Arial"/>
          <w:sz w:val="16"/>
          <w:szCs w:val="16"/>
          <w:color w:val="auto"/>
        </w:rPr>
        <w:t>”</w:t>
      </w:r>
    </w:p>
    <w:p>
      <w:pPr>
        <w:spacing w:after="0" w:line="8"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Licensing Arrangement</w:t>
      </w:r>
      <w:r>
        <w:rPr>
          <w:rFonts w:ascii="Arial" w:cs="Arial" w:eastAsia="Arial" w:hAnsi="Arial"/>
          <w:sz w:val="16"/>
          <w:szCs w:val="16"/>
          <w:color w:val="auto"/>
        </w:rPr>
        <w:t>”</w:t>
      </w:r>
    </w:p>
    <w:p>
      <w:pPr>
        <w:spacing w:after="0" w:line="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Disclosed PRC Licensee</w:t>
      </w:r>
      <w:r>
        <w:rPr>
          <w:rFonts w:ascii="Arial" w:cs="Arial" w:eastAsia="Arial" w:hAnsi="Arial"/>
          <w:sz w:val="18"/>
          <w:szCs w:val="18"/>
          <w:color w:val="auto"/>
        </w:rPr>
        <w:t xml:space="preserve"> </w:t>
      </w:r>
      <w:r>
        <w:rPr>
          <w:rFonts w:ascii="Arial" w:cs="Arial" w:eastAsia="Arial" w:hAnsi="Arial"/>
          <w:sz w:val="18"/>
          <w:szCs w:val="18"/>
          <w:b w:val="1"/>
          <w:bCs w:val="1"/>
          <w:color w:val="auto"/>
        </w:rPr>
        <w:t>List</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Notice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has the meaning given to that term in the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-215900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means any technology developed by, or on behalf of, JVCo or otherwise licensed, provided, or made available,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JVCo which:</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(i) constitutes Semiconductor Technology (including Architecture Compliant Cores designed by JVCo); and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(ii)  the exploitation of which would (in the absence of the licenses granted pursuant to this Agreement) infringe any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Intellectual Property that is: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 Controlled by a member of the ARM Group;</w:t>
      </w:r>
    </w:p>
    <w:p>
      <w:pPr>
        <w:spacing w:after="0" w:line="131" w:lineRule="exact"/>
        <w:rPr>
          <w:sz w:val="20"/>
          <w:szCs w:val="20"/>
          <w:color w:val="auto"/>
        </w:rPr>
      </w:pPr>
    </w:p>
    <w:p>
      <w:pPr>
        <w:ind w:left="720" w:right="860" w:hanging="359"/>
        <w:spacing w:after="0" w:line="277" w:lineRule="auto"/>
        <w:rPr>
          <w:sz w:val="20"/>
          <w:szCs w:val="20"/>
          <w:color w:val="auto"/>
        </w:rPr>
      </w:pPr>
      <w:r>
        <w:rPr>
          <w:rFonts w:ascii="Arial" w:cs="Arial" w:eastAsia="Arial" w:hAnsi="Arial"/>
          <w:sz w:val="18"/>
          <w:szCs w:val="18"/>
          <w:color w:val="auto"/>
        </w:rPr>
        <w:t>(b)   licensed by a member of the ARM Group to any PRC Licensees pursuant to a Direct Licensing Arrangement; or</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 Co-owned IP;</w:t>
      </w:r>
    </w:p>
    <w:p>
      <w:pPr>
        <w:spacing w:after="0" w:line="131" w:lineRule="exact"/>
        <w:rPr>
          <w:sz w:val="20"/>
          <w:szCs w:val="20"/>
          <w:color w:val="auto"/>
        </w:rPr>
      </w:pPr>
    </w:p>
    <w:p>
      <w:pPr>
        <w:ind w:right="2760"/>
        <w:spacing w:after="0" w:line="383" w:lineRule="auto"/>
        <w:rPr>
          <w:sz w:val="20"/>
          <w:szCs w:val="20"/>
          <w:color w:val="auto"/>
        </w:rPr>
      </w:pPr>
      <w:r>
        <w:rPr>
          <w:rFonts w:ascii="Arial" w:cs="Arial" w:eastAsia="Arial" w:hAnsi="Arial"/>
          <w:sz w:val="18"/>
          <w:szCs w:val="18"/>
          <w:color w:val="auto"/>
        </w:rPr>
        <w:t>(including, for the avoidance of doubt, Mutual Roadmap Derivative Products); means services relating to the design of integrated circuits;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means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the Joint Venture Contract;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each Direct Third Party Licensing Arrangement and each Other Direct Licensing Arrangement;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Clause 5.4.2;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means the list of entities set out in Part B of Section 3.08(a) of the Disclosure Schedule;</w:t>
      </w:r>
    </w:p>
    <w:p>
      <w:pPr>
        <w:spacing w:after="0" w:line="333" w:lineRule="exact"/>
        <w:rPr>
          <w:sz w:val="20"/>
          <w:szCs w:val="20"/>
          <w:color w:val="auto"/>
        </w:rPr>
      </w:pPr>
    </w:p>
    <w:p>
      <w:pPr>
        <w:ind w:right="3740"/>
        <w:spacing w:after="0" w:line="389" w:lineRule="auto"/>
        <w:rPr>
          <w:sz w:val="20"/>
          <w:szCs w:val="20"/>
          <w:color w:val="auto"/>
        </w:rPr>
      </w:pPr>
      <w:r>
        <w:rPr>
          <w:rFonts w:ascii="Arial" w:cs="Arial" w:eastAsia="Arial" w:hAnsi="Arial"/>
          <w:sz w:val="18"/>
          <w:szCs w:val="18"/>
          <w:color w:val="auto"/>
        </w:rPr>
        <w:t>has the meaning given to that term in the Investment Agreement; has the meaning given to that term in Clause 40.1; has the meaning given to that term in Clause 40.2;</w:t>
      </w:r>
    </w:p>
    <w:p>
      <w:pPr>
        <w:spacing w:after="0" w:line="2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1920" w:space="500"/>
            <w:col w:w="8420"/>
          </w:cols>
          <w:pgMar w:left="440" w:top="270" w:right="61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Downstream Affiliates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96" w:lineRule="auto"/>
        <w:rPr>
          <w:sz w:val="20"/>
          <w:szCs w:val="20"/>
          <w:color w:val="auto"/>
        </w:rPr>
      </w:pPr>
      <w:r>
        <w:rPr>
          <w:rFonts w:ascii="Arial" w:cs="Arial" w:eastAsia="Arial" w:hAnsi="Arial"/>
          <w:sz w:val="16"/>
          <w:szCs w:val="16"/>
          <w:color w:val="auto"/>
        </w:rPr>
        <w:t>means, with respect to either Party, any entity whose rights in the Relevant Licensed IP are ultimately derived from or licensed by that Party (including, for the avoidance of doubt, its licensees, their sub-licensees and customers and any sub-sub-licensees and customers of such sub-licensees), provided that, for the purposes of this definition and notwithstanding the licenses granted herein, JVCo and its Downstream Affiliates shall not be considered Downstream Affiliates of ARM and ARM and its Downstream Affiliates shall not be considered Downstream Affiliates of JVCo;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-805180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1880" w:space="540"/>
            <w:col w:w="8580"/>
          </w:cols>
          <w:pgMar w:left="440" w:top="270" w:right="45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DSG Tools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means [***];</w:t>
      </w:r>
    </w:p>
    <w:p>
      <w:pPr>
        <w:spacing w:after="0" w:line="113"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Due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26.2;</w:t>
      </w:r>
    </w:p>
    <w:p>
      <w:pPr>
        <w:spacing w:after="0" w:line="13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EAC Release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means that the deliverables so described are functionally complete and have been extensively validated, save that an “EAC Release” may not have been deployed in silicon or fully integrated into a system and therefore defects may exist that are not evident until the deliverable has been deployed in silicon or implemented into a system;</w:t>
      </w:r>
    </w:p>
    <w:p>
      <w:pPr>
        <w:spacing w:after="0" w:line="37"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Operational Start-up Date;</w:t>
      </w:r>
    </w:p>
    <w:p>
      <w:pPr>
        <w:spacing w:after="0" w:line="13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Enlarged ARM Group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means, with respect to ARM, any other Person that directly, or indirectly through one or more intermediaries, Controls, is Controlled by, or is under common Control with, ARM and (for the purposes of this definition and limb A(ii) of the definition of “PRC Licensees” only) “</w:t>
      </w:r>
      <w:r>
        <w:rPr>
          <w:rFonts w:ascii="Arial" w:cs="Arial" w:eastAsia="Arial" w:hAnsi="Arial"/>
          <w:sz w:val="17"/>
          <w:szCs w:val="17"/>
          <w:b w:val="1"/>
          <w:bCs w:val="1"/>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ownership of voting securities, by contract or otherwise, or the direct or indirect ownership of a majority of the voting rights with respect to the election of directors of such Person, and “</w:t>
      </w:r>
      <w:r>
        <w:rPr>
          <w:rFonts w:ascii="Arial" w:cs="Arial" w:eastAsia="Arial" w:hAnsi="Arial"/>
          <w:sz w:val="17"/>
          <w:szCs w:val="17"/>
          <w:b w:val="1"/>
          <w:bCs w:val="1"/>
          <w:color w:val="auto"/>
        </w:rPr>
        <w:t>Controlled</w:t>
      </w:r>
      <w:r>
        <w:rPr>
          <w:rFonts w:ascii="Arial" w:cs="Arial" w:eastAsia="Arial" w:hAnsi="Arial"/>
          <w:sz w:val="17"/>
          <w:szCs w:val="17"/>
          <w:color w:val="auto"/>
        </w:rPr>
        <w:t>” shall be construed accordingly;</w:t>
      </w:r>
    </w:p>
    <w:p>
      <w:pPr>
        <w:spacing w:after="0" w:line="66" w:lineRule="exact"/>
        <w:rPr>
          <w:sz w:val="20"/>
          <w:szCs w:val="20"/>
          <w:color w:val="auto"/>
        </w:rPr>
      </w:pPr>
    </w:p>
    <w:p>
      <w:pPr>
        <w:sectPr>
          <w:pgSz w:w="11900" w:h="16838" w:orient="portrait"/>
          <w:cols w:equalWidth="0" w:num="2">
            <w:col w:w="1900" w:space="5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the Joint Venture Contract;</w:t>
      </w:r>
    </w:p>
    <w:p>
      <w:pPr>
        <w:spacing w:after="0" w:line="13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Escalation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29.3;</w:t>
      </w:r>
    </w:p>
    <w:p>
      <w:pPr>
        <w:spacing w:after="0" w:line="13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Essential Claim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means those claims in any patents owned by the JVCo Group which, without the permission of the owner, would be infringed when implementing a microprocessor core which implements a present or future version of the ARM Architecture as defined in the respective Architecture Reference Manual from time to time because no commercially reasonable, non-infringing alternative way of implementing such microprocessor core is available, only to the extent that such claims are embodied or taken into use in any Architecture Compliant Core developed by any member of the JVCo Group;</w:t>
      </w:r>
    </w:p>
    <w:p>
      <w:pPr>
        <w:spacing w:after="0" w:line="125"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00"/>
          </w:cols>
          <w:pgMar w:left="440" w:top="270" w:right="459" w:bottom="1440" w:gutter="0" w:footer="0" w:header="0"/>
          <w:type w:val="continuous"/>
        </w:sectPr>
      </w:pPr>
    </w:p>
    <w:bookmarkStart w:id="304" w:name="page305"/>
    <w:bookmarkEnd w:id="304"/>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Exceptional Cases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licensing arrangements between a member of the ARM Group and its licensees relating to Obsolete Technology where such licensing arrangements are deemed to be reasonably necessary by such member of the ARM Group (acting reasonably) in circumstances where the licensee has previously had a license to that Obsolete Technology, before it became obsolete;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-652145</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700" w:space="720"/>
            <w:col w:w="8560"/>
          </w:cols>
          <w:pgMar w:left="440" w:top="270" w:right="47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Products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65"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ind w:left="2780" w:right="340" w:hanging="359"/>
        <w:spacing w:after="0" w:line="277" w:lineRule="auto"/>
        <w:rPr>
          <w:sz w:val="20"/>
          <w:szCs w:val="20"/>
          <w:color w:val="auto"/>
        </w:rPr>
      </w:pPr>
      <w:r>
        <w:rPr>
          <w:rFonts w:ascii="Arial" w:cs="Arial" w:eastAsia="Arial" w:hAnsi="Arial"/>
          <w:sz w:val="18"/>
          <w:szCs w:val="18"/>
          <w:color w:val="auto"/>
        </w:rPr>
        <w:t>(i) the [***] product and all previous versions of that product (including those products named [***] or versions named [***]);</w:t>
      </w:r>
    </w:p>
    <w:p>
      <w:pPr>
        <w:spacing w:after="0" w:line="76"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(ii)  agreements relating to specifications (including (a) [***]; (b) [***]; and (c) agreements relating to the [***]);</w:t>
      </w:r>
    </w:p>
    <w:p>
      <w:pPr>
        <w:spacing w:after="0" w:line="14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(iv) agreements relating to [***];</w:t>
      </w:r>
    </w:p>
    <w:p>
      <w:pPr>
        <w:sectPr>
          <w:pgSz w:w="11900" w:h="16838" w:orient="portrait"/>
          <w:cols w:equalWidth="0" w:num="1">
            <w:col w:w="10980"/>
          </w:cols>
          <w:pgMar w:left="440" w:top="270" w:right="47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Export Laws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8;</w:t>
      </w:r>
    </w:p>
    <w:p>
      <w:pPr>
        <w:spacing w:after="0" w:line="136"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Feedback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means all suggestions, comments, feedback, ideas, or know-how (whether in oral or written form) provided to: (i) the JVCo Group by its Downstream Affiliates relating to the JVCo Licensed Products; or (ii) the ARM Group by its Downstream Affiliates relating to the JVCo Licensed Products;</w:t>
      </w:r>
    </w:p>
    <w:p>
      <w:pPr>
        <w:spacing w:after="0" w:line="72"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Force Majeure Event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any fact or circumstance (including, without limitation, any act or omission of any third party and the impact of any Applicable Law, including Export Laws) beyond a Party’s reasonable control, the impact of which could not reasonably be planned for, mitigated or avoided;</w:t>
      </w:r>
    </w:p>
    <w:p>
      <w:pPr>
        <w:spacing w:after="0" w:line="72" w:lineRule="exact"/>
        <w:rPr>
          <w:sz w:val="20"/>
          <w:szCs w:val="20"/>
          <w:color w:val="auto"/>
        </w:rPr>
      </w:pPr>
    </w:p>
    <w:p>
      <w:pPr>
        <w:sectPr>
          <w:pgSz w:w="11900" w:h="16838" w:orient="portrait"/>
          <w:cols w:equalWidth="0" w:num="2">
            <w:col w:w="1780" w:space="64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Foreground IP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means Intellectual Property created or acquired, in the case of inventions, conceived by or on behalf of the JVCo Group that subsists in or relates to any Derivative Product or any Independent Product but excluding the Co-owned IP and, for the avoidance of doubt, any ARM IP;</w:t>
      </w:r>
    </w:p>
    <w:p>
      <w:pPr>
        <w:spacing w:after="0" w:line="72"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Industry Practice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301" w:lineRule="auto"/>
        <w:rPr>
          <w:sz w:val="20"/>
          <w:szCs w:val="20"/>
          <w:color w:val="auto"/>
        </w:rPr>
      </w:pPr>
      <w:r>
        <w:rPr>
          <w:rFonts w:ascii="Arial" w:cs="Arial" w:eastAsia="Arial" w:hAnsi="Arial"/>
          <w:sz w:val="16"/>
          <w:szCs w:val="16"/>
          <w:color w:val="auto"/>
        </w:rPr>
        <w:t>means practices, methods and procedures (or one of a range of practices, methods and procedures) that has been or would be adopted by a leading developer of Semiconductor Technology, exercising in the general conduct of its undertaking that degree of skill, diligence, prudence and foresight which would ordinarily and reasonably be expected from a leading supplier engaged in the business of developing Semiconductor Technology;</w:t>
      </w:r>
    </w:p>
    <w:p>
      <w:pPr>
        <w:spacing w:after="0" w:line="90" w:lineRule="exact"/>
        <w:rPr>
          <w:sz w:val="20"/>
          <w:szCs w:val="20"/>
          <w:color w:val="auto"/>
        </w:rPr>
      </w:pPr>
    </w:p>
    <w:p>
      <w:pPr>
        <w:sectPr>
          <w:pgSz w:w="11900" w:h="16838" w:orient="portrait"/>
          <w:cols w:equalWidth="0" w:num="2">
            <w:col w:w="1960" w:space="460"/>
            <w:col w:w="8560"/>
          </w:cols>
          <w:pgMar w:left="440" w:top="270" w:right="4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80"/>
          </w:cols>
          <w:pgMar w:left="440" w:top="270" w:right="479" w:bottom="1440" w:gutter="0" w:footer="0" w:header="0"/>
          <w:type w:val="continuous"/>
        </w:sectPr>
      </w:pPr>
    </w:p>
    <w:bookmarkStart w:id="305" w:name="page306"/>
    <w:bookmarkEnd w:id="305"/>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Entity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means any transnational, domestic or foreign federal, national, state, provincial or local governmental, regulatory or administrative authority, department, ministry, court, agency, commission or central bank, including any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-516890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1780" w:space="640"/>
            <w:col w:w="8480"/>
          </w:cols>
          <w:pgMar w:left="440" w:top="270" w:right="559" w:bottom="1440" w:gutter="0" w:footer="0" w:header="0"/>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save for ARM, in relation to any entity, that entity, its Subsidiaries, any holding company of that entity and all other Subsidiaries of any such holding company from time to time, provided that:</w:t>
      </w:r>
    </w:p>
    <w:p>
      <w:pPr>
        <w:spacing w:after="0" w:line="76"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ind w:left="2780" w:right="100" w:hanging="359"/>
        <w:spacing w:after="0" w:line="277" w:lineRule="auto"/>
        <w:rPr>
          <w:sz w:val="20"/>
          <w:szCs w:val="20"/>
          <w:color w:val="auto"/>
        </w:rPr>
      </w:pPr>
      <w:r>
        <w:rPr>
          <w:rFonts w:ascii="Arial" w:cs="Arial" w:eastAsia="Arial" w:hAnsi="Arial"/>
          <w:sz w:val="18"/>
          <w:szCs w:val="18"/>
          <w:color w:val="auto"/>
        </w:rPr>
        <w:t>(i) neither JVCo nor any member of the JVCo Group shall be included in the Group of any Shareholder (including ARM); and</w:t>
      </w:r>
    </w:p>
    <w:p>
      <w:pPr>
        <w:spacing w:after="0" w:line="7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neither ARM nor any member of the ARM Group shall be included in the JVCo Group;</w:t>
      </w:r>
    </w:p>
    <w:p>
      <w:pPr>
        <w:sectPr>
          <w:pgSz w:w="11900" w:h="16838" w:orient="portrait"/>
          <w:cols w:equalWidth="0" w:num="1">
            <w:col w:w="10900"/>
          </w:cols>
          <w:pgMar w:left="440" w:top="270" w:right="5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Income Tax</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means any and all taxes on net income, profits or gains;</w:t>
      </w:r>
    </w:p>
    <w:p>
      <w:pPr>
        <w:spacing w:after="0" w:line="136"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Indirect Taxes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7"/>
          <w:szCs w:val="17"/>
          <w:color w:val="auto"/>
        </w:rPr>
        <w:t>means any and all taxes including, without limitation, Business Tax, Culture Construction Fee, City Maintenance and Construction Tax, Education Surcharges, Local Education Levies, Shanghai Urban Construction Tax, Guangzhou Flood Prevention Fund, VAT, and custom duties, but excluding Income Tax;</w:t>
      </w:r>
    </w:p>
    <w:p>
      <w:pPr>
        <w:spacing w:after="0" w:line="53"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Product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460"/>
        <w:spacing w:after="0" w:line="263" w:lineRule="auto"/>
        <w:rPr>
          <w:sz w:val="20"/>
          <w:szCs w:val="20"/>
          <w:color w:val="auto"/>
        </w:rPr>
      </w:pPr>
      <w:r>
        <w:rPr>
          <w:rFonts w:ascii="Arial" w:cs="Arial" w:eastAsia="Arial" w:hAnsi="Arial"/>
          <w:sz w:val="18"/>
          <w:szCs w:val="18"/>
          <w:color w:val="auto"/>
        </w:rPr>
        <w:t>means any technology developed by, or on behalf of, the JVCo Group or otherwise licensed, provided, or made available, by the JVCo Group, the exploitation of which would not (even in the absence of the licenses granted pursuant to this Agreement) infringe any Intellectual Property that is:</w:t>
      </w:r>
    </w:p>
    <w:p>
      <w:pPr>
        <w:spacing w:after="0" w:line="89" w:lineRule="exact"/>
        <w:rPr>
          <w:sz w:val="20"/>
          <w:szCs w:val="20"/>
          <w:color w:val="auto"/>
        </w:rPr>
      </w:pPr>
    </w:p>
    <w:p>
      <w:pPr>
        <w:sectPr>
          <w:pgSz w:w="11900" w:h="16838" w:orient="portrait"/>
          <w:cols w:equalWidth="0" w:num="2">
            <w:col w:w="1780" w:space="640"/>
            <w:col w:w="8480"/>
          </w:cols>
          <w:pgMar w:left="440" w:top="270" w:right="559" w:bottom="1440" w:gutter="0" w:footer="0" w:header="0"/>
          <w:type w:val="continuous"/>
        </w:sectPr>
      </w:pPr>
    </w:p>
    <w:p>
      <w:pPr>
        <w:ind w:left="2420"/>
        <w:spacing w:after="0"/>
        <w:rPr>
          <w:sz w:val="20"/>
          <w:szCs w:val="20"/>
          <w:color w:val="auto"/>
        </w:rPr>
      </w:pPr>
      <w:r>
        <w:rPr>
          <w:rFonts w:ascii="Arial" w:cs="Arial" w:eastAsia="Arial" w:hAnsi="Arial"/>
          <w:sz w:val="18"/>
          <w:szCs w:val="18"/>
          <w:color w:val="auto"/>
        </w:rPr>
        <w:t>(i) Controlled by ARM;</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(ii)  licensed by ARM to any PRC Licensees pursuant to a Direct Licensing Arrangement; or</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Co-owned IP;</w:t>
      </w:r>
    </w:p>
    <w:p>
      <w:pPr>
        <w:sectPr>
          <w:pgSz w:w="11900" w:h="16838" w:orient="portrait"/>
          <w:cols w:equalWidth="0" w:num="1">
            <w:col w:w="10900"/>
          </w:cols>
          <w:pgMar w:left="440" w:top="270" w:right="5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In-Flight License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33.8;</w:t>
      </w:r>
    </w:p>
    <w:p>
      <w:pPr>
        <w:spacing w:after="0" w:line="136"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Innocent Party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29.1;</w:t>
      </w:r>
    </w:p>
    <w:p>
      <w:pPr>
        <w:spacing w:after="0" w:line="180"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00"/>
          </w:cols>
          <w:pgMar w:left="440" w:top="270" w:right="559" w:bottom="1440" w:gutter="0" w:footer="0" w:header="0"/>
          <w:type w:val="continuous"/>
        </w:sectPr>
      </w:pPr>
    </w:p>
    <w:bookmarkStart w:id="306" w:name="page307"/>
    <w:bookmarkEnd w:id="30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Invalidity Claim</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right="14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Agreement</w:t>
      </w:r>
      <w:r>
        <w:rPr>
          <w:rFonts w:ascii="Arial" w:cs="Arial" w:eastAsia="Arial" w:hAnsi="Arial"/>
          <w:sz w:val="16"/>
          <w:szCs w:val="16"/>
          <w:color w:val="auto"/>
        </w:rPr>
        <w:t>” “</w:t>
      </w:r>
      <w:r>
        <w:rPr>
          <w:rFonts w:ascii="Arial" w:cs="Arial" w:eastAsia="Arial" w:hAnsi="Arial"/>
          <w:sz w:val="16"/>
          <w:szCs w:val="16"/>
          <w:b w:val="1"/>
          <w:bCs w:val="1"/>
          <w:color w:val="auto"/>
        </w:rPr>
        <w:t>IP Committee</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IPG Ecosystem Partners</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Venture Contract</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JVCo</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JVCo Charge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JVCo Infringement Suit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-215900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Patents;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(ii)  Trade Marks;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(iii)  Trade Secrets;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(iv) Copyrights;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(v)   rights in designs;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(vi) database rights; and</w:t>
      </w:r>
    </w:p>
    <w:p>
      <w:pPr>
        <w:spacing w:after="0" w:line="131" w:lineRule="exact"/>
        <w:rPr>
          <w:sz w:val="20"/>
          <w:szCs w:val="20"/>
          <w:color w:val="auto"/>
        </w:rPr>
      </w:pPr>
    </w:p>
    <w:p>
      <w:pPr>
        <w:ind w:left="360" w:hanging="359"/>
        <w:spacing w:after="0" w:line="263" w:lineRule="auto"/>
        <w:rPr>
          <w:sz w:val="20"/>
          <w:szCs w:val="20"/>
          <w:color w:val="auto"/>
        </w:rPr>
      </w:pPr>
      <w:r>
        <w:rPr>
          <w:rFonts w:ascii="Arial" w:cs="Arial" w:eastAsia="Arial" w:hAnsi="Arial"/>
          <w:sz w:val="18"/>
          <w:szCs w:val="18"/>
          <w:color w:val="auto"/>
        </w:rPr>
        <w:t>(vii) all rights or forms of protection, anywhere in the world, having equivalent or similar effect to the rights referred to in paragraphs (i) to (vi) above, in each case whether registered or unregistered and including applications for registration of any such thing;</w:t>
      </w:r>
    </w:p>
    <w:p>
      <w:pPr>
        <w:spacing w:after="0" w:line="89"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means any actual or threatened claim alleging invalidity or unenforceability or challenging entitlement to, or ownership of, any ARM Licensed IP or JVCo Licensed IP (as the case may be), whether such claim is made in connection with the defence of an infringement or unauthorised use action or otherwise;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the Recitals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Clause 37.1;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PRC Licensees that undertake software development activities, supporting ARM Semiconductor Technology;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the Recitals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the Recitals above;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means the amount payable by JVCo to ARM in accordance with Clause 23.1, as calculated in accordance with Part B of Schedule 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that term in Clause 16.1;</w:t>
      </w:r>
    </w:p>
    <w:p>
      <w:pPr>
        <w:spacing w:after="0" w:line="15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2040" w:space="380"/>
            <w:col w:w="8580"/>
          </w:cols>
          <w:pgMar w:left="440" w:top="270" w:right="459" w:bottom="1440" w:gutter="0" w:footer="0" w:header="0"/>
        </w:sectPr>
      </w:pPr>
    </w:p>
    <w:bookmarkStart w:id="307" w:name="page308"/>
    <w:bookmarkEnd w:id="307"/>
    <w:p>
      <w:pPr>
        <w:spacing w:after="0"/>
        <w:tabs>
          <w:tab w:leader="none" w:pos="2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JVCo Licensed IP</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means:</w:t>
      </w:r>
    </w:p>
    <w:p>
      <w:pPr>
        <w:spacing w:after="0" w:line="135" w:lineRule="exact"/>
        <w:rPr>
          <w:sz w:val="20"/>
          <w:szCs w:val="20"/>
          <w:color w:val="auto"/>
        </w:rPr>
      </w:pPr>
    </w:p>
    <w:p>
      <w:pPr>
        <w:ind w:left="2780" w:right="640" w:hanging="359"/>
        <w:spacing w:after="0" w:line="277" w:lineRule="auto"/>
        <w:rPr>
          <w:sz w:val="20"/>
          <w:szCs w:val="20"/>
          <w:color w:val="auto"/>
        </w:rPr>
      </w:pPr>
      <w:r>
        <w:rPr>
          <w:rFonts w:ascii="Arial" w:cs="Arial" w:eastAsia="Arial" w:hAnsi="Arial"/>
          <w:sz w:val="18"/>
          <w:szCs w:val="18"/>
          <w:color w:val="auto"/>
        </w:rPr>
        <w:t>(i) any Intellectual Property that subsists in any Derivative Products or any documentation that relates to any Derivative Product; and</w:t>
      </w:r>
    </w:p>
    <w:p>
      <w:pPr>
        <w:spacing w:after="0" w:line="76" w:lineRule="exact"/>
        <w:rPr>
          <w:sz w:val="20"/>
          <w:szCs w:val="20"/>
          <w:color w:val="auto"/>
        </w:rPr>
      </w:pPr>
    </w:p>
    <w:p>
      <w:pPr>
        <w:ind w:left="2780" w:right="520" w:hanging="359"/>
        <w:spacing w:after="0" w:line="277" w:lineRule="auto"/>
        <w:rPr>
          <w:sz w:val="20"/>
          <w:szCs w:val="20"/>
          <w:color w:val="auto"/>
        </w:rPr>
      </w:pPr>
      <w:r>
        <w:rPr>
          <w:rFonts w:ascii="Arial" w:cs="Arial" w:eastAsia="Arial" w:hAnsi="Arial"/>
          <w:sz w:val="18"/>
          <w:szCs w:val="18"/>
          <w:color w:val="auto"/>
        </w:rPr>
        <w:t>(ii)  any Intellectual Property that subsists in any Independent Products or any documentation that relates to any Independent Product,</w:t>
      </w:r>
    </w:p>
    <w:p>
      <w:pPr>
        <w:spacing w:after="0" w:line="76" w:lineRule="exact"/>
        <w:rPr>
          <w:sz w:val="20"/>
          <w:szCs w:val="20"/>
          <w:color w:val="auto"/>
        </w:rPr>
      </w:pPr>
    </w:p>
    <w:p>
      <w:pPr>
        <w:jc w:val="both"/>
        <w:ind w:left="2420" w:right="400"/>
        <w:spacing w:after="0" w:line="342" w:lineRule="auto"/>
        <w:rPr>
          <w:sz w:val="20"/>
          <w:szCs w:val="20"/>
          <w:color w:val="auto"/>
        </w:rPr>
      </w:pPr>
      <w:r>
        <w:rPr>
          <w:rFonts w:ascii="Arial" w:cs="Arial" w:eastAsia="Arial" w:hAnsi="Arial"/>
          <w:sz w:val="16"/>
          <w:szCs w:val="16"/>
          <w:color w:val="auto"/>
        </w:rPr>
        <w:t>including, for the avoidance of doubt, all Foreground IP and all rights in Trade Marks used by the JVCo Group in relation to such Derivative Products and Independent Products, but excluding any Co-owned IP and any ARM IP;</w:t>
      </w:r>
    </w:p>
    <w:p>
      <w:pPr>
        <w:spacing w:after="0" w:line="25" w:lineRule="exact"/>
        <w:rPr>
          <w:sz w:val="20"/>
          <w:szCs w:val="20"/>
          <w:color w:val="auto"/>
        </w:rPr>
      </w:pPr>
    </w:p>
    <w:p>
      <w:pPr>
        <w:ind w:left="2420" w:right="100" w:hanging="2429"/>
        <w:spacing w:after="0" w:line="277" w:lineRule="auto"/>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JVCo Licensed Product(s)</w:t>
      </w:r>
      <w:r>
        <w:rPr>
          <w:rFonts w:ascii="Arial" w:cs="Arial" w:eastAsia="Arial" w:hAnsi="Arial"/>
          <w:sz w:val="18"/>
          <w:szCs w:val="18"/>
          <w:color w:val="auto"/>
        </w:rPr>
        <w:t>”</w:t>
        <w:tab/>
        <w:t>means any technology available to JVCo to license to PRC Licensees in accordance with the terms of this Agreement, being:</w:t>
      </w:r>
    </w:p>
    <w:p>
      <w:pPr>
        <w:spacing w:after="0" w:line="8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(i) Original ARM Products;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Derivative Products;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ARM Derivative Products;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(iv) Independent Products;</w:t>
      </w:r>
    </w:p>
    <w:p>
      <w:pPr>
        <w:spacing w:after="0" w:line="127" w:lineRule="exact"/>
        <w:rPr>
          <w:sz w:val="20"/>
          <w:szCs w:val="20"/>
          <w:color w:val="auto"/>
        </w:rPr>
      </w:pPr>
    </w:p>
    <w:p>
      <w:pPr>
        <w:ind w:left="2420" w:right="160" w:hanging="2429"/>
        <w:spacing w:after="0" w:line="263" w:lineRule="auto"/>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JVCo Licensee Claim</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a claim brought by a PRC Licensee against JVCo in connection with a license agreement for a JVCo Licensed Product, whether for breach of contract, tort (including negligence), as a JVCo Licensee Indemnity Claim or otherwise;</w:t>
      </w:r>
    </w:p>
    <w:p>
      <w:pPr>
        <w:spacing w:after="0" w:line="76" w:lineRule="exact"/>
        <w:rPr>
          <w:sz w:val="20"/>
          <w:szCs w:val="20"/>
          <w:color w:val="auto"/>
        </w:rPr>
      </w:pPr>
    </w:p>
    <w:p>
      <w:pPr>
        <w:ind w:right="49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JVCo Licensee Indemnity</w:t>
      </w:r>
      <w:r>
        <w:rPr>
          <w:rFonts w:ascii="Arial" w:cs="Arial" w:eastAsia="Arial" w:hAnsi="Arial"/>
          <w:sz w:val="18"/>
          <w:szCs w:val="18"/>
          <w:color w:val="auto"/>
        </w:rPr>
        <w:t xml:space="preserve"> has the meaning given to that term in Clause 16.2; </w:t>
      </w:r>
      <w:r>
        <w:rPr>
          <w:rFonts w:ascii="Arial" w:cs="Arial" w:eastAsia="Arial" w:hAnsi="Arial"/>
          <w:sz w:val="18"/>
          <w:szCs w:val="18"/>
          <w:b w:val="1"/>
          <w:bCs w:val="1"/>
          <w:color w:val="auto"/>
        </w:rPr>
        <w:t>Claim</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JVCo Model Licenses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“JVCo Product and Market Data”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means, from time to time:</w:t>
      </w:r>
    </w:p>
    <w:p>
      <w:pPr>
        <w:spacing w:after="0" w:line="131" w:lineRule="exact"/>
        <w:rPr>
          <w:sz w:val="20"/>
          <w:szCs w:val="20"/>
          <w:color w:val="auto"/>
        </w:rPr>
      </w:pPr>
    </w:p>
    <w:p>
      <w:pPr>
        <w:ind w:left="360" w:hanging="359"/>
        <w:spacing w:after="0" w:line="277" w:lineRule="auto"/>
        <w:rPr>
          <w:sz w:val="20"/>
          <w:szCs w:val="20"/>
          <w:color w:val="auto"/>
        </w:rPr>
      </w:pPr>
      <w:r>
        <w:rPr>
          <w:rFonts w:ascii="Arial" w:cs="Arial" w:eastAsia="Arial" w:hAnsi="Arial"/>
          <w:sz w:val="18"/>
          <w:szCs w:val="18"/>
          <w:color w:val="auto"/>
        </w:rPr>
        <w:t>(i) with respect to each Independent Product, the template license agreement (as provided by JVCo to ARM) that sets out the terms on which JVCo licenses that particular technology to its licensees; and</w:t>
      </w:r>
    </w:p>
    <w:p>
      <w:pPr>
        <w:spacing w:after="0" w:line="76" w:lineRule="exact"/>
        <w:rPr>
          <w:sz w:val="20"/>
          <w:szCs w:val="20"/>
          <w:color w:val="auto"/>
        </w:rPr>
      </w:pPr>
    </w:p>
    <w:p>
      <w:pPr>
        <w:ind w:left="360" w:right="100" w:hanging="359"/>
        <w:spacing w:after="0" w:line="263" w:lineRule="auto"/>
        <w:rPr>
          <w:sz w:val="20"/>
          <w:szCs w:val="20"/>
          <w:color w:val="auto"/>
        </w:rPr>
      </w:pPr>
      <w:r>
        <w:rPr>
          <w:rFonts w:ascii="Arial" w:cs="Arial" w:eastAsia="Arial" w:hAnsi="Arial"/>
          <w:sz w:val="18"/>
          <w:szCs w:val="18"/>
          <w:color w:val="auto"/>
        </w:rPr>
        <w:t>(ii)  with respect to ARM Derivative Products derived from Independent Products, the template license agreement (as provided by JVCo to ARM) that is substantially similar to the equivalent license under limb (i) for the most closely equivalent Independent Product;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131" w:lineRule="exact"/>
        <w:rPr>
          <w:sz w:val="20"/>
          <w:szCs w:val="20"/>
          <w:color w:val="auto"/>
        </w:rPr>
      </w:pPr>
    </w:p>
    <w:p>
      <w:pPr>
        <w:ind w:left="360" w:right="300" w:hanging="359"/>
        <w:spacing w:after="0" w:line="277" w:lineRule="auto"/>
        <w:rPr>
          <w:sz w:val="20"/>
          <w:szCs w:val="20"/>
          <w:color w:val="auto"/>
        </w:rPr>
      </w:pPr>
      <w:r>
        <w:rPr>
          <w:rFonts w:ascii="Arial" w:cs="Arial" w:eastAsia="Arial" w:hAnsi="Arial"/>
          <w:sz w:val="18"/>
          <w:szCs w:val="18"/>
          <w:color w:val="auto"/>
        </w:rPr>
        <w:t>(i) roadmap information of JVCo or any Non-PRC Licensee that pertains to Derivative Products and Independent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(ii)  customer plans that pertain to Derivative Products and Independent Products;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(iii)  technical engineering discussions relating to existing or future Derivative Products and Independent Products; and</w:t>
      </w:r>
    </w:p>
    <w:p>
      <w:pPr>
        <w:spacing w:after="0" w:line="154" w:lineRule="exact"/>
        <w:rPr>
          <w:sz w:val="20"/>
          <w:szCs w:val="20"/>
          <w:color w:val="auto"/>
        </w:rPr>
      </w:pPr>
    </w:p>
    <w:p>
      <w:pPr>
        <w:ind w:left="360" w:right="640" w:hanging="359"/>
        <w:spacing w:after="0" w:line="277" w:lineRule="auto"/>
        <w:rPr>
          <w:sz w:val="20"/>
          <w:szCs w:val="20"/>
          <w:color w:val="auto"/>
        </w:rPr>
      </w:pPr>
      <w:r>
        <w:rPr>
          <w:rFonts w:ascii="Arial" w:cs="Arial" w:eastAsia="Arial" w:hAnsi="Arial"/>
          <w:sz w:val="18"/>
          <w:szCs w:val="18"/>
          <w:color w:val="auto"/>
        </w:rPr>
        <w:t>(iv) software systems and platforms which may need to be supported by Derivative Products and Independent Products;</w:t>
      </w:r>
    </w:p>
    <w:p>
      <w:pPr>
        <w:spacing w:after="0" w:line="116" w:lineRule="exact"/>
        <w:rPr>
          <w:sz w:val="20"/>
          <w:szCs w:val="20"/>
          <w:color w:val="auto"/>
        </w:rPr>
      </w:pPr>
    </w:p>
    <w:p>
      <w:pPr>
        <w:sectPr>
          <w:pgSz w:w="11900" w:h="16838" w:orient="portrait"/>
          <w:cols w:equalWidth="0" w:num="2">
            <w:col w:w="2140" w:space="280"/>
            <w:col w:w="8600"/>
          </w:cols>
          <w:pgMar w:left="440" w:top="270" w:right="4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20"/>
          </w:cols>
          <w:pgMar w:left="440" w:top="270" w:right="439" w:bottom="1440" w:gutter="0" w:footer="0" w:header="0"/>
          <w:type w:val="continuous"/>
        </w:sectPr>
      </w:pPr>
    </w:p>
    <w:bookmarkStart w:id="308" w:name="page309"/>
    <w:bookmarkEnd w:id="308"/>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JVCo Revenue Share</w:t>
            </w:r>
          </w:p>
        </w:tc>
        <w:tc>
          <w:tcPr>
            <w:tcW w:w="8760" w:type="dxa"/>
            <w:vAlign w:val="bottom"/>
          </w:tcPr>
          <w:p>
            <w:pPr>
              <w:ind w:left="180"/>
              <w:spacing w:after="0"/>
              <w:rPr>
                <w:sz w:val="20"/>
                <w:szCs w:val="20"/>
                <w:color w:val="auto"/>
              </w:rPr>
            </w:pPr>
            <w:r>
              <w:rPr>
                <w:rFonts w:ascii="Arial" w:cs="Arial" w:eastAsia="Arial" w:hAnsi="Arial"/>
                <w:sz w:val="18"/>
                <w:szCs w:val="18"/>
                <w:color w:val="auto"/>
              </w:rPr>
              <w:t>has the meaning given to that term in Schedule 2;</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Percentage</w:t>
            </w:r>
            <w:r>
              <w:rPr>
                <w:rFonts w:ascii="Arial" w:cs="Arial" w:eastAsia="Arial" w:hAnsi="Arial"/>
                <w:sz w:val="18"/>
                <w:szCs w:val="18"/>
                <w:color w:val="auto"/>
              </w:rPr>
              <w:t>”</w:t>
            </w:r>
          </w:p>
        </w:tc>
        <w:tc>
          <w:tcPr>
            <w:tcW w:w="8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JVCo Update</w:t>
            </w:r>
            <w:r>
              <w:rPr>
                <w:rFonts w:ascii="Arial" w:cs="Arial" w:eastAsia="Arial" w:hAnsi="Arial"/>
                <w:sz w:val="18"/>
                <w:szCs w:val="18"/>
                <w:color w:val="auto"/>
              </w:rPr>
              <w:t>”</w:t>
            </w:r>
          </w:p>
        </w:tc>
        <w:tc>
          <w:tcPr>
            <w:tcW w:w="8760" w:type="dxa"/>
            <w:vAlign w:val="bottom"/>
          </w:tcPr>
          <w:p>
            <w:pPr>
              <w:ind w:left="180"/>
              <w:spacing w:after="0"/>
              <w:rPr>
                <w:sz w:val="20"/>
                <w:szCs w:val="20"/>
                <w:color w:val="auto"/>
              </w:rPr>
            </w:pPr>
            <w:r>
              <w:rPr>
                <w:rFonts w:ascii="Arial" w:cs="Arial" w:eastAsia="Arial" w:hAnsi="Arial"/>
                <w:sz w:val="18"/>
                <w:szCs w:val="18"/>
                <w:color w:val="auto"/>
              </w:rPr>
              <w:t>means any:</w:t>
            </w:r>
          </w:p>
        </w:tc>
        <w:tc>
          <w:tcPr>
            <w:tcW w:w="0" w:type="dxa"/>
            <w:vAlign w:val="bottom"/>
          </w:tcPr>
          <w:p>
            <w:pPr>
              <w:spacing w:after="0"/>
              <w:rPr>
                <w:sz w:val="1"/>
                <w:szCs w:val="1"/>
                <w:color w:val="auto"/>
              </w:rPr>
            </w:pPr>
          </w:p>
        </w:tc>
      </w:tr>
      <w:tr>
        <w:trPr>
          <w:trHeight w:val="338"/>
        </w:trPr>
        <w:tc>
          <w:tcPr>
            <w:tcW w:w="2240" w:type="dxa"/>
            <w:vAlign w:val="bottom"/>
          </w:tcPr>
          <w:p>
            <w:pPr>
              <w:spacing w:after="0"/>
              <w:rPr>
                <w:sz w:val="24"/>
                <w:szCs w:val="24"/>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rPr>
              <w:t>(i) error corrections developed by or for JVCo; and</w:t>
            </w:r>
          </w:p>
        </w:tc>
        <w:tc>
          <w:tcPr>
            <w:tcW w:w="0" w:type="dxa"/>
            <w:vAlign w:val="bottom"/>
          </w:tcPr>
          <w:p>
            <w:pPr>
              <w:spacing w:after="0"/>
              <w:rPr>
                <w:sz w:val="1"/>
                <w:szCs w:val="1"/>
                <w:color w:val="auto"/>
              </w:rPr>
            </w:pPr>
          </w:p>
        </w:tc>
      </w:tr>
      <w:tr>
        <w:trPr>
          <w:trHeight w:val="323"/>
        </w:trPr>
        <w:tc>
          <w:tcPr>
            <w:tcW w:w="2240" w:type="dxa"/>
            <w:vAlign w:val="bottom"/>
          </w:tcPr>
          <w:p>
            <w:pPr>
              <w:spacing w:after="0"/>
              <w:rPr>
                <w:sz w:val="24"/>
                <w:szCs w:val="24"/>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w w:val="93"/>
              </w:rPr>
              <w:t>(ii)  functional enhancements or other modifications developed by or for JVCo (which JVCo in its discretion decides</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760" w:type="dxa"/>
            <w:vAlign w:val="bottom"/>
          </w:tcPr>
          <w:p>
            <w:pPr>
              <w:ind w:left="540"/>
              <w:spacing w:after="0"/>
              <w:rPr>
                <w:sz w:val="20"/>
                <w:szCs w:val="20"/>
                <w:color w:val="auto"/>
              </w:rPr>
            </w:pPr>
            <w:r>
              <w:rPr>
                <w:rFonts w:ascii="Arial" w:cs="Arial" w:eastAsia="Arial" w:hAnsi="Arial"/>
                <w:sz w:val="18"/>
                <w:szCs w:val="18"/>
                <w:color w:val="auto"/>
              </w:rPr>
              <w:t>does not constitute a new product),</w:t>
            </w:r>
          </w:p>
        </w:tc>
        <w:tc>
          <w:tcPr>
            <w:tcW w:w="0" w:type="dxa"/>
            <w:vAlign w:val="bottom"/>
          </w:tcPr>
          <w:p>
            <w:pPr>
              <w:spacing w:after="0"/>
              <w:rPr>
                <w:sz w:val="1"/>
                <w:szCs w:val="1"/>
                <w:color w:val="auto"/>
              </w:rPr>
            </w:pPr>
          </w:p>
        </w:tc>
      </w:tr>
      <w:tr>
        <w:trPr>
          <w:trHeight w:val="338"/>
        </w:trPr>
        <w:tc>
          <w:tcPr>
            <w:tcW w:w="2240" w:type="dxa"/>
            <w:vAlign w:val="bottom"/>
          </w:tcPr>
          <w:p>
            <w:pPr>
              <w:spacing w:after="0"/>
              <w:rPr>
                <w:sz w:val="24"/>
                <w:szCs w:val="24"/>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rPr>
              <w:t>in each case, together with any JVCo Licensed IP embodied therein;</w:t>
            </w:r>
          </w:p>
        </w:tc>
        <w:tc>
          <w:tcPr>
            <w:tcW w:w="0" w:type="dxa"/>
            <w:vAlign w:val="bottom"/>
          </w:tcPr>
          <w:p>
            <w:pPr>
              <w:spacing w:after="0"/>
              <w:rPr>
                <w:sz w:val="1"/>
                <w:szCs w:val="1"/>
                <w:color w:val="auto"/>
              </w:rPr>
            </w:pP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Services Agreement</w:t>
            </w:r>
            <w:r>
              <w:rPr>
                <w:rFonts w:ascii="Arial" w:cs="Arial" w:eastAsia="Arial" w:hAnsi="Arial"/>
                <w:sz w:val="18"/>
                <w:szCs w:val="18"/>
                <w:color w:val="auto"/>
              </w:rPr>
              <w:t>”</w:t>
            </w:r>
          </w:p>
        </w:tc>
        <w:tc>
          <w:tcPr>
            <w:tcW w:w="8760" w:type="dxa"/>
            <w:vAlign w:val="bottom"/>
          </w:tcPr>
          <w:p>
            <w:pPr>
              <w:ind w:left="180"/>
              <w:spacing w:after="0"/>
              <w:rPr>
                <w:sz w:val="20"/>
                <w:szCs w:val="20"/>
                <w:color w:val="auto"/>
              </w:rPr>
            </w:pPr>
            <w:r>
              <w:rPr>
                <w:rFonts w:ascii="Arial" w:cs="Arial" w:eastAsia="Arial" w:hAnsi="Arial"/>
                <w:sz w:val="18"/>
                <w:szCs w:val="18"/>
                <w:color w:val="auto"/>
              </w:rPr>
              <w:t>has the meaning given to that term in the Investment Agreement;</w:t>
            </w: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LAC Release</w:t>
            </w:r>
            <w:r>
              <w:rPr>
                <w:rFonts w:ascii="Arial" w:cs="Arial" w:eastAsia="Arial" w:hAnsi="Arial"/>
                <w:sz w:val="18"/>
                <w:szCs w:val="18"/>
                <w:color w:val="auto"/>
              </w:rPr>
              <w:t>”</w:t>
            </w:r>
          </w:p>
        </w:tc>
        <w:tc>
          <w:tcPr>
            <w:tcW w:w="8760" w:type="dxa"/>
            <w:vAlign w:val="bottom"/>
          </w:tcPr>
          <w:p>
            <w:pPr>
              <w:ind w:left="180"/>
              <w:spacing w:after="0"/>
              <w:rPr>
                <w:sz w:val="20"/>
                <w:szCs w:val="20"/>
                <w:color w:val="auto"/>
              </w:rPr>
            </w:pPr>
            <w:r>
              <w:rPr>
                <w:rFonts w:ascii="Arial" w:cs="Arial" w:eastAsia="Arial" w:hAnsi="Arial"/>
                <w:sz w:val="18"/>
                <w:szCs w:val="18"/>
                <w:color w:val="auto"/>
                <w:w w:val="91"/>
              </w:rPr>
              <w:t>means that the deliverables so described are functionally complete but may not have been extensively validated and a</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w w:val="91"/>
              </w:rPr>
              <w:t>“LAC Release” may not have been deployed in silicon or fully integrated into a system and therefore defects may exist</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rPr>
              <w:t>that are not evident until the deliverable has been deployed in silicon or implemented into a system;</w:t>
            </w:r>
          </w:p>
        </w:tc>
        <w:tc>
          <w:tcPr>
            <w:tcW w:w="0" w:type="dxa"/>
            <w:vAlign w:val="bottom"/>
          </w:tcPr>
          <w:p>
            <w:pPr>
              <w:spacing w:after="0"/>
              <w:rPr>
                <w:sz w:val="1"/>
                <w:szCs w:val="1"/>
                <w:color w:val="auto"/>
              </w:rPr>
            </w:pPr>
          </w:p>
        </w:tc>
      </w:tr>
      <w:tr>
        <w:trPr>
          <w:trHeight w:val="310"/>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Partner Licenses</w:t>
            </w:r>
            <w:r>
              <w:rPr>
                <w:rFonts w:ascii="Arial" w:cs="Arial" w:eastAsia="Arial" w:hAnsi="Arial"/>
                <w:sz w:val="18"/>
                <w:szCs w:val="18"/>
                <w:color w:val="auto"/>
              </w:rPr>
              <w:t>”</w:t>
            </w:r>
          </w:p>
        </w:tc>
        <w:tc>
          <w:tcPr>
            <w:tcW w:w="8760" w:type="dxa"/>
            <w:vAlign w:val="bottom"/>
          </w:tcPr>
          <w:p>
            <w:pPr>
              <w:ind w:left="180"/>
              <w:spacing w:after="0"/>
              <w:rPr>
                <w:sz w:val="20"/>
                <w:szCs w:val="20"/>
                <w:color w:val="auto"/>
              </w:rPr>
            </w:pPr>
            <w:r>
              <w:rPr>
                <w:rFonts w:ascii="Arial" w:cs="Arial" w:eastAsia="Arial" w:hAnsi="Arial"/>
                <w:sz w:val="18"/>
                <w:szCs w:val="18"/>
                <w:color w:val="auto"/>
                <w:w w:val="91"/>
              </w:rPr>
              <w:t>means engagements with respect to any JVCo Licensed Products where the deliverables under that engagement are</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rPr>
              <w:t>LAC Releases or earlier;</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Party</w:t>
            </w:r>
            <w:r>
              <w:rPr>
                <w:rFonts w:ascii="Arial" w:cs="Arial" w:eastAsia="Arial" w:hAnsi="Arial"/>
                <w:sz w:val="18"/>
                <w:szCs w:val="18"/>
                <w:color w:val="auto"/>
              </w:rPr>
              <w:t>”</w:t>
            </w:r>
          </w:p>
        </w:tc>
        <w:tc>
          <w:tcPr>
            <w:tcW w:w="8760" w:type="dxa"/>
            <w:vAlign w:val="bottom"/>
          </w:tcPr>
          <w:p>
            <w:pPr>
              <w:ind w:left="180"/>
              <w:spacing w:after="0"/>
              <w:rPr>
                <w:sz w:val="20"/>
                <w:szCs w:val="20"/>
                <w:color w:val="auto"/>
              </w:rPr>
            </w:pPr>
            <w:r>
              <w:rPr>
                <w:rFonts w:ascii="Arial" w:cs="Arial" w:eastAsia="Arial" w:hAnsi="Arial"/>
                <w:sz w:val="18"/>
                <w:szCs w:val="18"/>
                <w:color w:val="auto"/>
              </w:rPr>
              <w:t>has the meaning given to that term in Clause 22.2.1;</w:t>
            </w:r>
          </w:p>
        </w:tc>
        <w:tc>
          <w:tcPr>
            <w:tcW w:w="0" w:type="dxa"/>
            <w:vAlign w:val="bottom"/>
          </w:tcPr>
          <w:p>
            <w:pPr>
              <w:spacing w:after="0"/>
              <w:rPr>
                <w:sz w:val="1"/>
                <w:szCs w:val="1"/>
                <w:color w:val="auto"/>
              </w:rPr>
            </w:pPr>
          </w:p>
        </w:tc>
      </w:tr>
      <w:tr>
        <w:trPr>
          <w:trHeight w:val="306"/>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ARM</w:t>
            </w:r>
          </w:p>
        </w:tc>
        <w:tc>
          <w:tcPr>
            <w:tcW w:w="8760" w:type="dxa"/>
            <w:vAlign w:val="bottom"/>
          </w:tcPr>
          <w:p>
            <w:pPr>
              <w:ind w:left="18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Architectures</w:t>
            </w:r>
            <w:r>
              <w:rPr>
                <w:rFonts w:ascii="Arial" w:cs="Arial" w:eastAsia="Arial" w:hAnsi="Arial"/>
                <w:sz w:val="18"/>
                <w:szCs w:val="18"/>
                <w:color w:val="auto"/>
              </w:rPr>
              <w:t>”</w:t>
            </w:r>
          </w:p>
        </w:tc>
        <w:tc>
          <w:tcPr>
            <w:tcW w:w="8760" w:type="dxa"/>
            <w:vAlign w:val="bottom"/>
            <w:vMerge w:val="restart"/>
          </w:tcPr>
          <w:p>
            <w:pPr>
              <w:ind w:left="180"/>
              <w:spacing w:after="0"/>
              <w:rPr>
                <w:sz w:val="20"/>
                <w:szCs w:val="20"/>
                <w:color w:val="auto"/>
              </w:rPr>
            </w:pPr>
            <w:r>
              <w:rPr>
                <w:rFonts w:ascii="Arial" w:cs="Arial" w:eastAsia="Arial" w:hAnsi="Arial"/>
                <w:sz w:val="18"/>
                <w:szCs w:val="18"/>
                <w:color w:val="auto"/>
                <w:w w:val="97"/>
              </w:rPr>
              <w:t>(i) as at the date of this Agreement, the ARM Architectures with reference numbers ARMv8-R, ARMv8-A and</w:t>
            </w: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8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760" w:type="dxa"/>
            <w:vAlign w:val="bottom"/>
          </w:tcPr>
          <w:p>
            <w:pPr>
              <w:ind w:left="540"/>
              <w:spacing w:after="0"/>
              <w:rPr>
                <w:sz w:val="20"/>
                <w:szCs w:val="20"/>
                <w:color w:val="auto"/>
              </w:rPr>
            </w:pPr>
            <w:r>
              <w:rPr>
                <w:rFonts w:ascii="Arial" w:cs="Arial" w:eastAsia="Arial" w:hAnsi="Arial"/>
                <w:sz w:val="18"/>
                <w:szCs w:val="18"/>
                <w:color w:val="auto"/>
              </w:rPr>
              <w:t>ARMv8-M; or</w:t>
            </w:r>
          </w:p>
        </w:tc>
        <w:tc>
          <w:tcPr>
            <w:tcW w:w="0" w:type="dxa"/>
            <w:vAlign w:val="bottom"/>
          </w:tcPr>
          <w:p>
            <w:pPr>
              <w:spacing w:after="0"/>
              <w:rPr>
                <w:sz w:val="1"/>
                <w:szCs w:val="1"/>
                <w:color w:val="auto"/>
              </w:rPr>
            </w:pPr>
          </w:p>
        </w:tc>
      </w:tr>
      <w:tr>
        <w:trPr>
          <w:trHeight w:val="338"/>
        </w:trPr>
        <w:tc>
          <w:tcPr>
            <w:tcW w:w="2240" w:type="dxa"/>
            <w:vAlign w:val="bottom"/>
          </w:tcPr>
          <w:p>
            <w:pPr>
              <w:spacing w:after="0"/>
              <w:rPr>
                <w:sz w:val="24"/>
                <w:szCs w:val="24"/>
                <w:color w:val="auto"/>
              </w:rPr>
            </w:pPr>
          </w:p>
        </w:tc>
        <w:tc>
          <w:tcPr>
            <w:tcW w:w="8760" w:type="dxa"/>
            <w:vAlign w:val="bottom"/>
          </w:tcPr>
          <w:p>
            <w:pPr>
              <w:ind w:left="180"/>
              <w:spacing w:after="0"/>
              <w:rPr>
                <w:sz w:val="20"/>
                <w:szCs w:val="20"/>
                <w:color w:val="auto"/>
              </w:rPr>
            </w:pPr>
            <w:r>
              <w:rPr>
                <w:rFonts w:ascii="Arial" w:cs="Arial" w:eastAsia="Arial" w:hAnsi="Arial"/>
                <w:sz w:val="18"/>
                <w:szCs w:val="18"/>
                <w:color w:val="auto"/>
                <w:w w:val="98"/>
              </w:rPr>
              <w:t>(ii)  from time to time, the list set out at (i) above and any future ARM Architectures that have been Released;</w:t>
            </w:r>
          </w:p>
        </w:tc>
        <w:tc>
          <w:tcPr>
            <w:tcW w:w="0" w:type="dxa"/>
            <w:vAlign w:val="bottom"/>
          </w:tcPr>
          <w:p>
            <w:pPr>
              <w:spacing w:after="0"/>
              <w:rPr>
                <w:sz w:val="1"/>
                <w:szCs w:val="1"/>
                <w:color w:val="auto"/>
              </w:rPr>
            </w:pP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Party</w:t>
            </w:r>
            <w:r>
              <w:rPr>
                <w:rFonts w:ascii="Arial" w:cs="Arial" w:eastAsia="Arial" w:hAnsi="Arial"/>
                <w:sz w:val="18"/>
                <w:szCs w:val="18"/>
                <w:color w:val="auto"/>
              </w:rPr>
              <w:t>”</w:t>
            </w:r>
          </w:p>
        </w:tc>
        <w:tc>
          <w:tcPr>
            <w:tcW w:w="8760" w:type="dxa"/>
            <w:vAlign w:val="bottom"/>
          </w:tcPr>
          <w:p>
            <w:pPr>
              <w:ind w:left="180"/>
              <w:spacing w:after="0"/>
              <w:rPr>
                <w:sz w:val="20"/>
                <w:szCs w:val="20"/>
                <w:color w:val="auto"/>
              </w:rPr>
            </w:pPr>
            <w:r>
              <w:rPr>
                <w:rFonts w:ascii="Arial" w:cs="Arial" w:eastAsia="Arial" w:hAnsi="Arial"/>
                <w:sz w:val="18"/>
                <w:szCs w:val="18"/>
                <w:color w:val="auto"/>
              </w:rPr>
              <w:t>has the meaning given to that term in Clause 21.2;</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 Enquiry Notice</w:t>
            </w:r>
            <w:r>
              <w:rPr>
                <w:rFonts w:ascii="Arial" w:cs="Arial" w:eastAsia="Arial" w:hAnsi="Arial"/>
                <w:sz w:val="18"/>
                <w:szCs w:val="18"/>
                <w:color w:val="auto"/>
              </w:rPr>
              <w:t>”</w:t>
            </w:r>
          </w:p>
        </w:tc>
        <w:tc>
          <w:tcPr>
            <w:tcW w:w="8760" w:type="dxa"/>
            <w:vAlign w:val="bottom"/>
          </w:tcPr>
          <w:p>
            <w:pPr>
              <w:ind w:left="180"/>
              <w:spacing w:after="0"/>
              <w:rPr>
                <w:sz w:val="20"/>
                <w:szCs w:val="20"/>
                <w:color w:val="auto"/>
              </w:rPr>
            </w:pPr>
            <w:r>
              <w:rPr>
                <w:rFonts w:ascii="Arial" w:cs="Arial" w:eastAsia="Arial" w:hAnsi="Arial"/>
                <w:sz w:val="18"/>
                <w:szCs w:val="18"/>
                <w:color w:val="auto"/>
              </w:rPr>
              <w:t>has the meaning given to that term in Clause 31.1;</w:t>
            </w:r>
          </w:p>
        </w:tc>
        <w:tc>
          <w:tcPr>
            <w:tcW w:w="0" w:type="dxa"/>
            <w:vAlign w:val="bottom"/>
          </w:tcPr>
          <w:p>
            <w:pPr>
              <w:spacing w:after="0"/>
              <w:rPr>
                <w:sz w:val="1"/>
                <w:szCs w:val="1"/>
                <w:color w:val="auto"/>
              </w:rPr>
            </w:pPr>
          </w:p>
        </w:tc>
      </w:tr>
      <w:tr>
        <w:trPr>
          <w:trHeight w:val="365"/>
        </w:trPr>
        <w:tc>
          <w:tcPr>
            <w:tcW w:w="2240" w:type="dxa"/>
            <w:vAlign w:val="bottom"/>
          </w:tcPr>
          <w:p>
            <w:pPr>
              <w:spacing w:after="0"/>
              <w:rPr>
                <w:sz w:val="24"/>
                <w:szCs w:val="24"/>
                <w:color w:val="auto"/>
              </w:rPr>
            </w:pPr>
          </w:p>
        </w:tc>
        <w:tc>
          <w:tcPr>
            <w:tcW w:w="8760" w:type="dxa"/>
            <w:vAlign w:val="bottom"/>
          </w:tcPr>
          <w:p>
            <w:pPr>
              <w:ind w:left="3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9" w:name="page310"/>
    <w:bookmarkEnd w:id="30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Licensing Exceptions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20"/>
        <w:spacing w:after="0" w:line="263" w:lineRule="auto"/>
        <w:rPr>
          <w:sz w:val="20"/>
          <w:szCs w:val="20"/>
          <w:color w:val="auto"/>
        </w:rPr>
      </w:pPr>
      <w:r>
        <w:rPr>
          <w:rFonts w:ascii="Arial" w:cs="Arial" w:eastAsia="Arial" w:hAnsi="Arial"/>
          <w:sz w:val="18"/>
          <w:szCs w:val="18"/>
          <w:color w:val="auto"/>
        </w:rPr>
        <w:t>means, in response to a request raised by the relevant entity that is required to license on the terms of the relevant Applicable Model License, exceptions agreed (on a case by case basis and only in relation to specifically identified licenses) to the terms of the relevant Applicable Model License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-516890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1780" w:space="640"/>
            <w:col w:w="8600"/>
          </w:cols>
          <w:pgMar w:left="440" w:top="270" w:right="439" w:bottom="1440" w:gutter="0" w:footer="0" w:header="0"/>
        </w:sectPr>
      </w:pPr>
    </w:p>
    <w:p>
      <w:pPr>
        <w:ind w:left="2420"/>
        <w:spacing w:after="0"/>
        <w:rPr>
          <w:sz w:val="20"/>
          <w:szCs w:val="20"/>
          <w:color w:val="auto"/>
        </w:rPr>
      </w:pPr>
      <w:r>
        <w:rPr>
          <w:rFonts w:ascii="Arial" w:cs="Arial" w:eastAsia="Arial" w:hAnsi="Arial"/>
          <w:sz w:val="18"/>
          <w:szCs w:val="18"/>
          <w:color w:val="auto"/>
        </w:rPr>
        <w:t>(i) ARM (in the case of Original ARM Products);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(ii)  the Roadmap Committee (in the case of Derivative Products and ARM Derivative Products); or</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JVCo (in the case of Independent Products).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each case, in accordance with paragraphs 2 and 3 of Schedule 4;</w:t>
      </w:r>
    </w:p>
    <w:p>
      <w:pPr>
        <w:sectPr>
          <w:pgSz w:w="11900" w:h="16838" w:orient="portrait"/>
          <w:cols w:equalWidth="0" w:num="1">
            <w:col w:w="11020"/>
          </w:cols>
          <w:pgMar w:left="440" w:top="270" w:right="4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Licensing Party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21.1;</w:t>
      </w:r>
    </w:p>
    <w:p>
      <w:pPr>
        <w:spacing w:after="0" w:line="136" w:lineRule="exact"/>
        <w:rPr>
          <w:sz w:val="20"/>
          <w:szCs w:val="20"/>
          <w:color w:val="auto"/>
        </w:rPr>
      </w:pPr>
    </w:p>
    <w:p>
      <w:pPr>
        <w:sectPr>
          <w:pgSz w:w="11900" w:h="16838" w:orient="portrait"/>
          <w:cols w:equalWidth="0" w:num="2">
            <w:col w:w="1700" w:space="720"/>
            <w:col w:w="860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Listed PRC Entity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an entity which is the Ultimate Parent in a Group which is incorporated in the PRC and whose shares are traded on an official stock exchange;</w:t>
      </w:r>
    </w:p>
    <w:p>
      <w:pPr>
        <w:spacing w:after="0" w:line="58" w:lineRule="exact"/>
        <w:rPr>
          <w:sz w:val="20"/>
          <w:szCs w:val="20"/>
          <w:color w:val="auto"/>
        </w:rPr>
      </w:pPr>
    </w:p>
    <w:p>
      <w:pPr>
        <w:sectPr>
          <w:pgSz w:w="11900" w:h="16838" w:orient="portrait"/>
          <w:cols w:equalWidth="0" w:num="2">
            <w:col w:w="1700" w:space="720"/>
            <w:col w:w="860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losses, damages, costs, charges, expenses and liabilities;</w:t>
      </w:r>
    </w:p>
    <w:p>
      <w:pPr>
        <w:spacing w:after="0" w:line="147" w:lineRule="exact"/>
        <w:rPr>
          <w:sz w:val="20"/>
          <w:szCs w:val="20"/>
          <w:color w:val="auto"/>
        </w:rPr>
      </w:pPr>
    </w:p>
    <w:p>
      <w:pPr>
        <w:sectPr>
          <w:pgSz w:w="11900" w:h="16838" w:orient="portrait"/>
          <w:cols w:equalWidth="0" w:num="2">
            <w:col w:w="1700" w:space="720"/>
            <w:col w:w="860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Manufacturer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entity sub-contracted by JVCo to manufacture test chips for JVCo;</w:t>
      </w:r>
    </w:p>
    <w:p>
      <w:pPr>
        <w:spacing w:after="0" w:line="136" w:lineRule="exact"/>
        <w:rPr>
          <w:sz w:val="20"/>
          <w:szCs w:val="20"/>
          <w:color w:val="auto"/>
        </w:rPr>
      </w:pPr>
    </w:p>
    <w:p>
      <w:pPr>
        <w:sectPr>
          <w:pgSz w:w="11900" w:h="16838" w:orient="portrait"/>
          <w:cols w:equalWidth="0" w:num="2">
            <w:col w:w="1700" w:space="720"/>
            <w:col w:w="860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Breach</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case of JVCo, includes:</w:t>
      </w:r>
    </w:p>
    <w:p>
      <w:pPr>
        <w:spacing w:after="0" w:line="153" w:lineRule="exact"/>
        <w:rPr>
          <w:sz w:val="20"/>
          <w:szCs w:val="20"/>
          <w:color w:val="auto"/>
        </w:rPr>
      </w:pPr>
    </w:p>
    <w:p>
      <w:pPr>
        <w:sectPr>
          <w:pgSz w:w="11900" w:h="16838" w:orient="portrait"/>
          <w:cols w:equalWidth="0" w:num="2">
            <w:col w:w="1700" w:space="720"/>
            <w:col w:w="8600"/>
          </w:cols>
          <w:pgMar w:left="440" w:top="270" w:right="439" w:bottom="1440" w:gutter="0" w:footer="0" w:header="0"/>
          <w:type w:val="continuous"/>
        </w:sectPr>
      </w:pPr>
    </w:p>
    <w:p>
      <w:pPr>
        <w:ind w:left="2780" w:hanging="359"/>
        <w:spacing w:after="0" w:line="263" w:lineRule="auto"/>
        <w:rPr>
          <w:sz w:val="20"/>
          <w:szCs w:val="20"/>
          <w:color w:val="auto"/>
        </w:rPr>
      </w:pPr>
      <w:r>
        <w:rPr>
          <w:rFonts w:ascii="Arial" w:cs="Arial" w:eastAsia="Arial" w:hAnsi="Arial"/>
          <w:sz w:val="18"/>
          <w:szCs w:val="18"/>
          <w:color w:val="auto"/>
        </w:rPr>
        <w:t>(i) a breach by JVCo of any of Clauses 6 (</w:t>
      </w:r>
      <w:r>
        <w:rPr>
          <w:rFonts w:ascii="Arial" w:cs="Arial" w:eastAsia="Arial" w:hAnsi="Arial"/>
          <w:sz w:val="18"/>
          <w:szCs w:val="18"/>
          <w:i w:val="1"/>
          <w:iCs w:val="1"/>
          <w:color w:val="auto"/>
        </w:rPr>
        <w:t>Restrictions on JVCo</w:t>
      </w:r>
      <w:r>
        <w:rPr>
          <w:rFonts w:ascii="Arial" w:cs="Arial" w:eastAsia="Arial" w:hAnsi="Arial"/>
          <w:sz w:val="18"/>
          <w:szCs w:val="18"/>
          <w:color w:val="auto"/>
        </w:rPr>
        <w:t>), 7.3 (</w:t>
      </w:r>
      <w:r>
        <w:rPr>
          <w:rFonts w:ascii="Arial" w:cs="Arial" w:eastAsia="Arial" w:hAnsi="Arial"/>
          <w:sz w:val="18"/>
          <w:szCs w:val="18"/>
          <w:i w:val="1"/>
          <w:iCs w:val="1"/>
          <w:color w:val="auto"/>
        </w:rPr>
        <w:t>No exploitation of ARM Licensed IP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authorised</w:t>
      </w:r>
      <w:r>
        <w:rPr>
          <w:rFonts w:ascii="Arial" w:cs="Arial" w:eastAsia="Arial" w:hAnsi="Arial"/>
          <w:sz w:val="18"/>
          <w:szCs w:val="18"/>
          <w:color w:val="auto"/>
        </w:rPr>
        <w:t>), 13.3 (</w:t>
      </w:r>
      <w:r>
        <w:rPr>
          <w:rFonts w:ascii="Arial" w:cs="Arial" w:eastAsia="Arial" w:hAnsi="Arial"/>
          <w:sz w:val="18"/>
          <w:szCs w:val="18"/>
          <w:i w:val="1"/>
          <w:iCs w:val="1"/>
          <w:color w:val="auto"/>
        </w:rPr>
        <w:t>Delivery of IP</w:t>
      </w:r>
      <w:r>
        <w:rPr>
          <w:rFonts w:ascii="Arial" w:cs="Arial" w:eastAsia="Arial" w:hAnsi="Arial"/>
          <w:sz w:val="18"/>
          <w:szCs w:val="18"/>
          <w:color w:val="auto"/>
        </w:rPr>
        <w:t>), 14.1 (</w:t>
      </w:r>
      <w:r>
        <w:rPr>
          <w:rFonts w:ascii="Arial" w:cs="Arial" w:eastAsia="Arial" w:hAnsi="Arial"/>
          <w:sz w:val="18"/>
          <w:szCs w:val="18"/>
          <w:i w:val="1"/>
          <w:iCs w:val="1"/>
          <w:color w:val="auto"/>
        </w:rPr>
        <w:t>Exclusivity of Certain License Grants</w:t>
      </w:r>
      <w:r>
        <w:rPr>
          <w:rFonts w:ascii="Arial" w:cs="Arial" w:eastAsia="Arial" w:hAnsi="Arial"/>
          <w:sz w:val="18"/>
          <w:szCs w:val="18"/>
          <w:color w:val="auto"/>
        </w:rPr>
        <w:t>), 36 (</w:t>
      </w:r>
      <w:r>
        <w:rPr>
          <w:rFonts w:ascii="Arial" w:cs="Arial" w:eastAsia="Arial" w:hAnsi="Arial"/>
          <w:sz w:val="18"/>
          <w:szCs w:val="18"/>
          <w:i w:val="1"/>
          <w:iCs w:val="1"/>
          <w:color w:val="auto"/>
        </w:rPr>
        <w:t>Anti-Corruption</w:t>
      </w:r>
      <w:r>
        <w:rPr>
          <w:rFonts w:ascii="Arial" w:cs="Arial" w:eastAsia="Arial" w:hAnsi="Arial"/>
          <w:sz w:val="18"/>
          <w:szCs w:val="18"/>
          <w:color w:val="auto"/>
        </w:rPr>
        <w:t>) and 41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89" w:lineRule="exact"/>
        <w:rPr>
          <w:sz w:val="20"/>
          <w:szCs w:val="20"/>
          <w:color w:val="auto"/>
        </w:rPr>
      </w:pPr>
    </w:p>
    <w:p>
      <w:pPr>
        <w:ind w:left="2780" w:right="220" w:hanging="359"/>
        <w:spacing w:after="0" w:line="263" w:lineRule="auto"/>
        <w:rPr>
          <w:sz w:val="20"/>
          <w:szCs w:val="20"/>
          <w:color w:val="auto"/>
        </w:rPr>
      </w:pPr>
      <w:r>
        <w:rPr>
          <w:rFonts w:ascii="Arial" w:cs="Arial" w:eastAsia="Arial" w:hAnsi="Arial"/>
          <w:sz w:val="18"/>
          <w:szCs w:val="18"/>
          <w:color w:val="auto"/>
        </w:rPr>
        <w:t>(ii)  an amount in excess of USD [***] being owed by JVCo to ARM and not paid to ARM within [***] days of the relevant Due Date (excluding, until the Resolved Payment Due Date, any amounts that are the subject of an ongoing bona fide Payment Dispute pursuant to any of Clauses 26.4, 26.5 and 40);</w:t>
      </w:r>
    </w:p>
    <w:p>
      <w:pPr>
        <w:spacing w:after="0" w:line="8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a material breach by JVCo of this Agreement;</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(iv) a persistent breach by JVCo of this Agreement;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(v)   multiple breaches by JVCo of this Agreement that, when considered together, amount to a material breach,</w:t>
      </w:r>
    </w:p>
    <w:p>
      <w:pPr>
        <w:spacing w:after="0" w:line="14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and in the case of ARM, includes: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type w:val="continuous"/>
        </w:sectPr>
      </w:pPr>
    </w:p>
    <w:bookmarkStart w:id="310" w:name="page311"/>
    <w:bookmarkEnd w:id="3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 Class Derivative</w:t>
      </w:r>
      <w:r>
        <w:rPr>
          <w:rFonts w:ascii="Arial" w:cs="Arial" w:eastAsia="Arial" w:hAnsi="Arial"/>
          <w:sz w:val="16"/>
          <w:szCs w:val="16"/>
          <w:color w:val="auto"/>
        </w:rPr>
        <w:t xml:space="preserve"> </w:t>
      </w:r>
      <w:r>
        <w:rPr>
          <w:rFonts w:ascii="Arial" w:cs="Arial" w:eastAsia="Arial" w:hAnsi="Arial"/>
          <w:sz w:val="16"/>
          <w:szCs w:val="16"/>
          <w:b w:val="1"/>
          <w:bCs w:val="1"/>
          <w:color w:val="auto"/>
        </w:rPr>
        <w:t>Products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 Class Original Products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(vi) a breach by ARM of any of Clauses 2.1 (</w:t>
      </w:r>
      <w:r>
        <w:rPr>
          <w:rFonts w:ascii="Arial" w:cs="Arial" w:eastAsia="Arial" w:hAnsi="Arial"/>
          <w:sz w:val="18"/>
          <w:szCs w:val="18"/>
          <w:i w:val="1"/>
          <w:iCs w:val="1"/>
          <w:color w:val="auto"/>
        </w:rPr>
        <w:t>Exclusivity of Certain License Grants</w:t>
      </w:r>
      <w:r>
        <w:rPr>
          <w:rFonts w:ascii="Arial" w:cs="Arial" w:eastAsia="Arial" w:hAnsi="Arial"/>
          <w:sz w:val="18"/>
          <w:szCs w:val="18"/>
          <w:color w:val="auto"/>
        </w:rPr>
        <w:t>), 3.5 (</w:t>
      </w:r>
      <w:r>
        <w:rPr>
          <w:rFonts w:ascii="Arial" w:cs="Arial" w:eastAsia="Arial" w:hAnsi="Arial"/>
          <w:sz w:val="18"/>
          <w:szCs w:val="18"/>
          <w:i w:val="1"/>
          <w:iCs w:val="1"/>
          <w:color w:val="auto"/>
        </w:rPr>
        <w:t>Delivery of IP</w:t>
      </w:r>
      <w:r>
        <w:rPr>
          <w:rFonts w:ascii="Arial" w:cs="Arial" w:eastAsia="Arial" w:hAnsi="Arial"/>
          <w:sz w:val="18"/>
          <w:szCs w:val="18"/>
          <w:color w:val="auto"/>
        </w:rPr>
        <w: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-215900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Delivery of Updates),</w:t>
      </w:r>
      <w:r>
        <w:rPr>
          <w:rFonts w:ascii="Arial" w:cs="Arial" w:eastAsia="Arial" w:hAnsi="Arial"/>
          <w:sz w:val="16"/>
          <w:szCs w:val="16"/>
          <w:color w:val="auto"/>
        </w:rPr>
        <w:t xml:space="preserve"> 3.10 (</w:t>
      </w:r>
      <w:r>
        <w:rPr>
          <w:rFonts w:ascii="Arial" w:cs="Arial" w:eastAsia="Arial" w:hAnsi="Arial"/>
          <w:sz w:val="16"/>
          <w:szCs w:val="16"/>
          <w:i w:val="1"/>
          <w:iCs w:val="1"/>
          <w:color w:val="auto"/>
        </w:rPr>
        <w:t>Restrictions on Development of ARM Derivative Products</w:t>
      </w:r>
      <w:r>
        <w:rPr>
          <w:rFonts w:ascii="Arial" w:cs="Arial" w:eastAsia="Arial" w:hAnsi="Arial"/>
          <w:sz w:val="16"/>
          <w:szCs w:val="16"/>
          <w:color w:val="auto"/>
        </w:rPr>
        <w:t>), 36 (</w:t>
      </w:r>
      <w:r>
        <w:rPr>
          <w:rFonts w:ascii="Arial" w:cs="Arial" w:eastAsia="Arial" w:hAnsi="Arial"/>
          <w:sz w:val="16"/>
          <w:szCs w:val="16"/>
          <w:i w:val="1"/>
          <w:iCs w:val="1"/>
          <w:color w:val="auto"/>
        </w:rPr>
        <w:t>Anti-Corruption</w:t>
      </w:r>
      <w:r>
        <w:rPr>
          <w:rFonts w:ascii="Arial" w:cs="Arial" w:eastAsia="Arial" w:hAnsi="Arial"/>
          <w:sz w:val="16"/>
          <w:szCs w:val="16"/>
          <w:color w:val="auto"/>
        </w:rPr>
        <w:t>) and</w:t>
      </w:r>
    </w:p>
    <w:p>
      <w:pPr>
        <w:spacing w:after="0" w:line="32" w:lineRule="exact"/>
        <w:rPr>
          <w:sz w:val="20"/>
          <w:szCs w:val="20"/>
          <w:color w:val="auto"/>
        </w:rPr>
      </w:pPr>
    </w:p>
    <w:p>
      <w:pPr>
        <w:ind w:left="600" w:hanging="234"/>
        <w:spacing w:after="0"/>
        <w:tabs>
          <w:tab w:leader="none" w:pos="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9" w:lineRule="exact"/>
        <w:rPr>
          <w:sz w:val="20"/>
          <w:szCs w:val="20"/>
          <w:color w:val="auto"/>
        </w:rPr>
      </w:pPr>
    </w:p>
    <w:p>
      <w:pPr>
        <w:ind w:left="360" w:right="60" w:hanging="359"/>
        <w:spacing w:after="0" w:line="281" w:lineRule="auto"/>
        <w:rPr>
          <w:sz w:val="20"/>
          <w:szCs w:val="20"/>
          <w:color w:val="auto"/>
        </w:rPr>
      </w:pPr>
      <w:r>
        <w:rPr>
          <w:rFonts w:ascii="Arial" w:cs="Arial" w:eastAsia="Arial" w:hAnsi="Arial"/>
          <w:sz w:val="16"/>
          <w:szCs w:val="16"/>
          <w:color w:val="auto"/>
        </w:rPr>
        <w:t>(vii) an amount in excess of USD [***] (or equivalent in any currency) being owed by ARM to JVCo and not paid to JVCo within [***] days of the relevant Due Date (excluding, until the Resolved Payment Due Date, any amounts that are the subject of an ongoing bona fide Payment Dispute pursuant to any of Clauses 26.4, 26.5 and 40);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(viii)a material breach by ARM of this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(ix) a persistent breach by ARM of this Agreement; and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(x)   multiple breaches by ARM of this Agreement that, when considered together, amount to a material breach;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131" w:lineRule="exact"/>
        <w:rPr>
          <w:sz w:val="20"/>
          <w:szCs w:val="20"/>
          <w:color w:val="auto"/>
        </w:rPr>
      </w:pPr>
    </w:p>
    <w:p>
      <w:pPr>
        <w:ind w:left="360" w:right="120" w:hanging="359"/>
        <w:spacing w:after="0" w:line="308" w:lineRule="auto"/>
        <w:rPr>
          <w:sz w:val="20"/>
          <w:szCs w:val="20"/>
          <w:color w:val="auto"/>
        </w:rPr>
      </w:pPr>
      <w:r>
        <w:rPr>
          <w:rFonts w:ascii="Arial" w:cs="Arial" w:eastAsia="Arial" w:hAnsi="Arial"/>
          <w:sz w:val="17"/>
          <w:szCs w:val="17"/>
          <w:color w:val="auto"/>
        </w:rPr>
        <w:t>(i) Mutual Roadmap Derivative Products which are Architecture Compliant Cores compliant with a Licensed ARM Architecture suffixed with –M developed by the JVCo Group and derived from M Class Products; and</w:t>
      </w:r>
    </w:p>
    <w:p>
      <w:pPr>
        <w:spacing w:after="0" w:line="52" w:lineRule="exact"/>
        <w:rPr>
          <w:sz w:val="20"/>
          <w:szCs w:val="20"/>
          <w:color w:val="auto"/>
        </w:rPr>
      </w:pPr>
    </w:p>
    <w:p>
      <w:pPr>
        <w:ind w:left="360" w:hanging="359"/>
        <w:spacing w:after="0" w:line="263" w:lineRule="auto"/>
        <w:rPr>
          <w:sz w:val="20"/>
          <w:szCs w:val="20"/>
          <w:color w:val="auto"/>
        </w:rPr>
      </w:pPr>
      <w:r>
        <w:rPr>
          <w:rFonts w:ascii="Arial" w:cs="Arial" w:eastAsia="Arial" w:hAnsi="Arial"/>
          <w:sz w:val="18"/>
          <w:szCs w:val="18"/>
          <w:color w:val="auto"/>
        </w:rPr>
        <w:t>(ii)  Mutual Roadmap Derivative Products which are Architecture Compliant Cores developed by the JVCo Group and derived from a Licensed ARM Architecture suffixed with –M (being, as at the date of this Agreement, the ARMV8-M);</w:t>
      </w:r>
    </w:p>
    <w:p>
      <w:pPr>
        <w:spacing w:after="0" w:line="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means Original ARM Products which constitute M Class Products (save that, when licensed pursuant to a Transferring Contract (including, for the avoidance of doubt, once that Transferring Contract is novated pursuant to the mechanism set out in either Section 7.05 of the Investment Agreement or in Clause 33 (</w:t>
      </w:r>
      <w:r>
        <w:rPr>
          <w:rFonts w:ascii="Arial" w:cs="Arial" w:eastAsia="Arial" w:hAnsi="Arial"/>
          <w:sz w:val="16"/>
          <w:szCs w:val="16"/>
          <w:i w:val="1"/>
          <w:iCs w:val="1"/>
          <w:color w:val="auto"/>
        </w:rPr>
        <w:t>Novating Agreements</w:t>
      </w:r>
      <w:r>
        <w:rPr>
          <w:rFonts w:ascii="Arial" w:cs="Arial" w:eastAsia="Arial" w:hAnsi="Arial"/>
          <w:sz w:val="16"/>
          <w:szCs w:val="16"/>
          <w:color w:val="auto"/>
        </w:rPr>
        <w:t>), that resulting Novated License Agreement), an M Class Product shall not constitute an M Class Original Product);</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2200" w:space="220"/>
            <w:col w:w="8580"/>
          </w:cols>
          <w:pgMar w:left="440" w:top="274" w:right="459"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 Class Products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means the following scalable, energy efficient, and easy-to-use microprocessor cores for smart and connected embedded applications developed by the ARM Group and any updates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-387985</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700" w:space="720"/>
            <w:col w:w="8480"/>
          </w:cols>
          <w:pgMar w:left="440" w:top="270" w:right="559" w:bottom="1440" w:gutter="0" w:footer="0" w:header="0"/>
        </w:sectPr>
      </w:pPr>
    </w:p>
    <w:p>
      <w:pPr>
        <w:ind w:left="2420"/>
        <w:spacing w:after="0"/>
        <w:rPr>
          <w:sz w:val="20"/>
          <w:szCs w:val="20"/>
          <w:color w:val="auto"/>
        </w:rPr>
      </w:pPr>
      <w:r>
        <w:rPr>
          <w:rFonts w:ascii="Arial" w:cs="Arial" w:eastAsia="Arial" w:hAnsi="Arial"/>
          <w:sz w:val="18"/>
          <w:szCs w:val="18"/>
          <w:color w:val="auto"/>
        </w:rPr>
        <w:t>(i) [***];</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(iv) [***];</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(v)   [***];</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(vi) [***];</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(vii) [***];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(viii) [***];</w:t>
      </w:r>
    </w:p>
    <w:p>
      <w:pPr>
        <w:spacing w:after="0" w:line="131" w:lineRule="exact"/>
        <w:rPr>
          <w:sz w:val="20"/>
          <w:szCs w:val="20"/>
          <w:color w:val="auto"/>
        </w:rPr>
      </w:pPr>
    </w:p>
    <w:p>
      <w:pPr>
        <w:ind w:left="2420" w:right="460"/>
        <w:spacing w:after="0" w:line="277" w:lineRule="auto"/>
        <w:rPr>
          <w:sz w:val="20"/>
          <w:szCs w:val="20"/>
          <w:color w:val="auto"/>
        </w:rPr>
      </w:pPr>
      <w:r>
        <w:rPr>
          <w:rFonts w:ascii="Arial" w:cs="Arial" w:eastAsia="Arial" w:hAnsi="Arial"/>
          <w:sz w:val="18"/>
          <w:szCs w:val="18"/>
          <w:color w:val="auto"/>
        </w:rPr>
        <w:t>along with any Architecture Compliant Core developed by the ARM Group and derived from a Licensed ARM Architecture suffixed with –[***];</w:t>
      </w:r>
    </w:p>
    <w:p>
      <w:pPr>
        <w:sectPr>
          <w:pgSz w:w="11900" w:h="16838" w:orient="portrait"/>
          <w:cols w:equalWidth="0" w:num="1">
            <w:col w:w="10900"/>
          </w:cols>
          <w:pgMar w:left="440" w:top="270" w:right="55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MOFCOM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50.4;</w:t>
      </w:r>
    </w:p>
    <w:p>
      <w:pPr>
        <w:spacing w:after="0" w:line="135"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Mutual Roadmap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means the product roadmap that contains Original ARM Products, Mutual Roadmap Derivative Products and, where agreed between the Parties, Independent Products that feature the ARM Brand Trade Marks;</w:t>
      </w:r>
    </w:p>
    <w:p>
      <w:pPr>
        <w:spacing w:after="0" w:line="58"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ind w:right="1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Mutual Roadmap</w:t>
      </w:r>
      <w:r>
        <w:rPr>
          <w:rFonts w:ascii="Arial" w:cs="Arial" w:eastAsia="Arial" w:hAnsi="Arial"/>
          <w:sz w:val="16"/>
          <w:szCs w:val="16"/>
          <w:color w:val="auto"/>
        </w:rPr>
        <w:t xml:space="preserve"> </w:t>
      </w:r>
      <w:r>
        <w:rPr>
          <w:rFonts w:ascii="Arial" w:cs="Arial" w:eastAsia="Arial" w:hAnsi="Arial"/>
          <w:sz w:val="16"/>
          <w:szCs w:val="16"/>
          <w:b w:val="1"/>
          <w:bCs w:val="1"/>
          <w:color w:val="auto"/>
        </w:rPr>
        <w:t>Derivative Products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means Derivative Products that are identified by the Roadmap Committee as forming part of the Mutual Roadmap in accordance with Clause 38;</w:t>
      </w:r>
    </w:p>
    <w:p>
      <w:pPr>
        <w:spacing w:after="0" w:line="58"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Necessary Claims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80"/>
        <w:spacing w:after="0" w:line="259" w:lineRule="auto"/>
        <w:rPr>
          <w:sz w:val="20"/>
          <w:szCs w:val="20"/>
          <w:color w:val="auto"/>
        </w:rPr>
      </w:pPr>
      <w:r>
        <w:rPr>
          <w:rFonts w:ascii="Arial" w:cs="Arial" w:eastAsia="Arial" w:hAnsi="Arial"/>
          <w:sz w:val="18"/>
          <w:szCs w:val="18"/>
          <w:color w:val="auto"/>
        </w:rPr>
        <w:t>means those claims in any Patent that, without the appropriate permission of the entity which owns or controls the Patent, will be infringed when implementing an Architecture Compliant Core because no alternative, commercially reasonable, non-infringing way of satisfying the criteria set out in the relevant definition of Architecture Compliant Core is known;</w:t>
      </w:r>
    </w:p>
    <w:p>
      <w:pPr>
        <w:spacing w:after="0" w:line="75"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Non-PRC Licensees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licensees other than PRC Licensees;</w:t>
      </w:r>
    </w:p>
    <w:p>
      <w:pPr>
        <w:spacing w:after="0" w:line="147"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Non-Product Claim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means a claim or series of claims arising from the same event brought by a Party against another Party (and, for the avoidance of doubt, the question of whether the claims arise from the “same event” shall be decided by the arbitration tribunal in accordance with Clause 40 in the event of a Dispute on the issue), where that claim does not relate to a specific JVCo Licensed Product (excluding, in the case of ARM, a claim that relates to an ARM Licensee Claim, and in the case of JVCo, a claim that relates to a JVCo Licensee Claim);</w:t>
      </w:r>
    </w:p>
    <w:p>
      <w:pPr>
        <w:spacing w:after="0" w:line="109" w:lineRule="exact"/>
        <w:rPr>
          <w:sz w:val="20"/>
          <w:szCs w:val="20"/>
          <w:color w:val="auto"/>
        </w:rPr>
      </w:pPr>
    </w:p>
    <w:p>
      <w:pPr>
        <w:sectPr>
          <w:pgSz w:w="11900" w:h="16838" w:orient="portrait"/>
          <w:cols w:equalWidth="0" w:num="2">
            <w:col w:w="1700" w:space="720"/>
            <w:col w:w="8480"/>
          </w:cols>
          <w:pgMar w:left="440" w:top="270" w:right="5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00"/>
          </w:cols>
          <w:pgMar w:left="440" w:top="270" w:right="559" w:bottom="1440" w:gutter="0" w:footer="0" w:header="0"/>
          <w:type w:val="continuous"/>
        </w:sectPr>
      </w:pPr>
    </w:p>
    <w:bookmarkStart w:id="312" w:name="page313"/>
    <w:bookmarkEnd w:id="312"/>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Non-Standard Licenses</w:t>
            </w:r>
            <w:r>
              <w:rPr>
                <w:rFonts w:ascii="Arial" w:cs="Arial" w:eastAsia="Arial" w:hAnsi="Arial"/>
                <w:sz w:val="18"/>
                <w:szCs w:val="18"/>
                <w:color w:val="auto"/>
              </w:rPr>
              <w:t>”</w:t>
            </w:r>
          </w:p>
        </w:tc>
        <w:tc>
          <w:tcPr>
            <w:tcW w:w="8720" w:type="dxa"/>
            <w:vAlign w:val="bottom"/>
          </w:tcPr>
          <w:p>
            <w:pPr>
              <w:ind w:left="24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(i) Lead Partner Licenses; and</w:t>
            </w: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6"/>
              </w:rPr>
              <w:t>(ii)  any other licensing arrangements for Original ARM Products (other than the Licensed ARM Architectures),</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Derivative Products or ARM Derivative Products that do not feature in the Standard Product List (a</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Non-Standard Product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9"/>
        </w:trPr>
        <w:tc>
          <w:tcPr>
            <w:tcW w:w="2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Non-Standard PRC</w:t>
            </w:r>
          </w:p>
        </w:tc>
        <w:tc>
          <w:tcPr>
            <w:tcW w:w="8720" w:type="dxa"/>
            <w:vAlign w:val="bottom"/>
          </w:tcPr>
          <w:p>
            <w:pPr>
              <w:ind w:left="24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Licensee</w:t>
            </w:r>
            <w:r>
              <w:rPr>
                <w:rFonts w:ascii="Arial" w:cs="Arial" w:eastAsia="Arial" w:hAnsi="Arial"/>
                <w:sz w:val="18"/>
                <w:szCs w:val="18"/>
                <w:color w:val="auto"/>
              </w:rPr>
              <w:t>”</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w w:val="91"/>
              </w:rPr>
              <w:t>(i) as at the date of this Agreement and subject to Clause 32.1, those entities included in Part B of Schedule 1; and</w:t>
            </w: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3"/>
              </w:rPr>
              <w:t>(ii)  any other entities which do not satisfy any of limbs A(i) to (iv) or B(i) of the ‘PRC Licensees’ definition, that the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Parties agree to treat as PRC Licensees (whether pursuant to Clause 31 or otherwise);</w:t>
            </w: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 Resolved</w:t>
            </w:r>
            <w:r>
              <w:rPr>
                <w:rFonts w:ascii="Arial" w:cs="Arial" w:eastAsia="Arial" w:hAnsi="Arial"/>
                <w:sz w:val="18"/>
                <w:szCs w:val="18"/>
                <w:color w:val="auto"/>
              </w:rPr>
              <w:t>”</w:t>
            </w:r>
          </w:p>
        </w:tc>
        <w:tc>
          <w:tcPr>
            <w:tcW w:w="8720" w:type="dxa"/>
            <w:vAlign w:val="bottom"/>
          </w:tcPr>
          <w:p>
            <w:pPr>
              <w:ind w:left="240"/>
              <w:spacing w:after="0"/>
              <w:rPr>
                <w:sz w:val="20"/>
                <w:szCs w:val="20"/>
                <w:color w:val="auto"/>
              </w:rPr>
            </w:pPr>
            <w:r>
              <w:rPr>
                <w:rFonts w:ascii="Arial" w:cs="Arial" w:eastAsia="Arial" w:hAnsi="Arial"/>
                <w:sz w:val="18"/>
                <w:szCs w:val="18"/>
                <w:color w:val="auto"/>
              </w:rPr>
              <w:t>has the meaning given to that term in Clause 29.5;</w:t>
            </w:r>
          </w:p>
        </w:tc>
        <w:tc>
          <w:tcPr>
            <w:tcW w:w="0" w:type="dxa"/>
            <w:vAlign w:val="bottom"/>
          </w:tcPr>
          <w:p>
            <w:pPr>
              <w:spacing w:after="0"/>
              <w:rPr>
                <w:sz w:val="1"/>
                <w:szCs w:val="1"/>
                <w:color w:val="auto"/>
              </w:rPr>
            </w:pPr>
          </w:p>
        </w:tc>
      </w:tr>
      <w:tr>
        <w:trPr>
          <w:trHeight w:val="306"/>
        </w:trPr>
        <w:tc>
          <w:tcPr>
            <w:tcW w:w="2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Novated License</w:t>
            </w:r>
          </w:p>
        </w:tc>
        <w:tc>
          <w:tcPr>
            <w:tcW w:w="8720" w:type="dxa"/>
            <w:vAlign w:val="bottom"/>
          </w:tcPr>
          <w:p>
            <w:pPr>
              <w:ind w:left="240"/>
              <w:spacing w:after="0"/>
              <w:rPr>
                <w:sz w:val="20"/>
                <w:szCs w:val="20"/>
                <w:color w:val="auto"/>
              </w:rPr>
            </w:pPr>
            <w:r>
              <w:rPr>
                <w:rFonts w:ascii="Arial" w:cs="Arial" w:eastAsia="Arial" w:hAnsi="Arial"/>
                <w:sz w:val="18"/>
                <w:szCs w:val="18"/>
                <w:color w:val="auto"/>
                <w:w w:val="97"/>
              </w:rPr>
              <w:t>means from time to time, the Transferring Contracts that have been novated by ARM to JVCo pursuant to the</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w:t>
            </w:r>
          </w:p>
        </w:tc>
        <w:tc>
          <w:tcPr>
            <w:tcW w:w="8720" w:type="dxa"/>
            <w:vAlign w:val="bottom"/>
          </w:tcPr>
          <w:p>
            <w:pPr>
              <w:ind w:left="240"/>
              <w:spacing w:after="0"/>
              <w:rPr>
                <w:sz w:val="20"/>
                <w:szCs w:val="20"/>
                <w:color w:val="auto"/>
              </w:rPr>
            </w:pPr>
            <w:r>
              <w:rPr>
                <w:rFonts w:ascii="Arial" w:cs="Arial" w:eastAsia="Arial" w:hAnsi="Arial"/>
                <w:sz w:val="18"/>
                <w:szCs w:val="18"/>
                <w:color w:val="auto"/>
              </w:rPr>
              <w:t>mechanism set out in either Section 7.05 of the Investment Agreement or Clause 33;</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Novation Agreement</w:t>
            </w:r>
            <w:r>
              <w:rPr>
                <w:rFonts w:ascii="Arial" w:cs="Arial" w:eastAsia="Arial" w:hAnsi="Arial"/>
                <w:sz w:val="18"/>
                <w:szCs w:val="18"/>
                <w:color w:val="auto"/>
              </w:rPr>
              <w:t>”</w:t>
            </w:r>
          </w:p>
        </w:tc>
        <w:tc>
          <w:tcPr>
            <w:tcW w:w="8720" w:type="dxa"/>
            <w:vAlign w:val="bottom"/>
          </w:tcPr>
          <w:p>
            <w:pPr>
              <w:ind w:left="240"/>
              <w:spacing w:after="0"/>
              <w:rPr>
                <w:sz w:val="20"/>
                <w:szCs w:val="20"/>
                <w:color w:val="auto"/>
              </w:rPr>
            </w:pPr>
            <w:r>
              <w:rPr>
                <w:rFonts w:ascii="Arial" w:cs="Arial" w:eastAsia="Arial" w:hAnsi="Arial"/>
                <w:sz w:val="18"/>
                <w:szCs w:val="18"/>
                <w:color w:val="auto"/>
              </w:rPr>
              <w:t>has the meaning given to that term in the Investment Agreement;</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Obsolete Marks”</w:t>
            </w:r>
          </w:p>
        </w:tc>
        <w:tc>
          <w:tcPr>
            <w:tcW w:w="8720" w:type="dxa"/>
            <w:vAlign w:val="bottom"/>
          </w:tcPr>
          <w:p>
            <w:pPr>
              <w:ind w:left="240"/>
              <w:spacing w:after="0"/>
              <w:rPr>
                <w:sz w:val="20"/>
                <w:szCs w:val="20"/>
                <w:color w:val="auto"/>
              </w:rPr>
            </w:pPr>
            <w:r>
              <w:rPr>
                <w:rFonts w:ascii="Arial" w:cs="Arial" w:eastAsia="Arial" w:hAnsi="Arial"/>
                <w:sz w:val="18"/>
                <w:szCs w:val="18"/>
                <w:color w:val="auto"/>
                <w:w w:val="92"/>
              </w:rPr>
              <w:t>means, from time to time and with respect to ARM Brand Trade Marks, any Trade Marks that are identified by ARM</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as obsolete;</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Obsolete Technology</w:t>
            </w:r>
            <w:r>
              <w:rPr>
                <w:rFonts w:ascii="Arial" w:cs="Arial" w:eastAsia="Arial" w:hAnsi="Arial"/>
                <w:sz w:val="18"/>
                <w:szCs w:val="18"/>
                <w:color w:val="auto"/>
              </w:rPr>
              <w:t>”</w:t>
            </w:r>
          </w:p>
        </w:tc>
        <w:tc>
          <w:tcPr>
            <w:tcW w:w="8720" w:type="dxa"/>
            <w:vAlign w:val="bottom"/>
          </w:tcPr>
          <w:p>
            <w:pPr>
              <w:ind w:left="240"/>
              <w:spacing w:after="0"/>
              <w:rPr>
                <w:sz w:val="20"/>
                <w:szCs w:val="20"/>
                <w:color w:val="auto"/>
              </w:rPr>
            </w:pPr>
            <w:r>
              <w:rPr>
                <w:rFonts w:ascii="Arial" w:cs="Arial" w:eastAsia="Arial" w:hAnsi="Arial"/>
                <w:sz w:val="18"/>
                <w:szCs w:val="18"/>
                <w:color w:val="auto"/>
              </w:rPr>
              <w:t>means, from time to time and with respect to a JVCo Licensed Product, any technology that:</w:t>
            </w: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2"/>
              </w:rPr>
              <w:t>(i) has been declared obsolete by ARM (in the case of an Original ARM Product), the Roadmap Committee (in the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3"/>
              </w:rPr>
              <w:t>case of a Derivative Product or an ARM Derivative Product) or JVCo (in the case of an Independent Product);</w:t>
            </w: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2"/>
              </w:rPr>
              <w:t>(ii)  in the case of Original ARM Products, is no longer generally made available by ARM to its licensees other than</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pursuant to existing contractual commitments (save for Exceptional Cases); and</w:t>
            </w: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2"/>
              </w:rPr>
              <w:t>(iii)  in the case of Independent Products, is no longer made available by the JVCo Group to its licensees other than</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pursuant to existing contractual commitments;</w:t>
            </w:r>
          </w:p>
        </w:tc>
        <w:tc>
          <w:tcPr>
            <w:tcW w:w="0" w:type="dxa"/>
            <w:vAlign w:val="bottom"/>
          </w:tcPr>
          <w:p>
            <w:pPr>
              <w:spacing w:after="0"/>
              <w:rPr>
                <w:sz w:val="1"/>
                <w:szCs w:val="1"/>
                <w:color w:val="auto"/>
              </w:rPr>
            </w:pPr>
          </w:p>
        </w:tc>
      </w:tr>
      <w:tr>
        <w:trPr>
          <w:trHeight w:val="378"/>
        </w:trPr>
        <w:tc>
          <w:tcPr>
            <w:tcW w:w="2180" w:type="dxa"/>
            <w:vAlign w:val="bottom"/>
          </w:tcPr>
          <w:p>
            <w:pPr>
              <w:spacing w:after="0"/>
              <w:rPr>
                <w:sz w:val="24"/>
                <w:szCs w:val="24"/>
                <w:color w:val="auto"/>
              </w:rPr>
            </w:pPr>
          </w:p>
        </w:tc>
        <w:tc>
          <w:tcPr>
            <w:tcW w:w="8720" w:type="dxa"/>
            <w:vAlign w:val="bottom"/>
          </w:tcPr>
          <w:p>
            <w:pPr>
              <w:ind w:left="32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0"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3" w:name="page314"/>
    <w:bookmarkEnd w:id="313"/>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Offshore Holding</w:t>
            </w:r>
          </w:p>
        </w:tc>
        <w:tc>
          <w:tcPr>
            <w:tcW w:w="8700" w:type="dxa"/>
            <w:vAlign w:val="bottom"/>
          </w:tcPr>
          <w:p>
            <w:pPr>
              <w:ind w:left="120"/>
              <w:spacing w:after="0"/>
              <w:rPr>
                <w:sz w:val="20"/>
                <w:szCs w:val="20"/>
                <w:color w:val="auto"/>
              </w:rPr>
            </w:pPr>
            <w:r>
              <w:rPr>
                <w:rFonts w:ascii="Arial" w:cs="Arial" w:eastAsia="Arial" w:hAnsi="Arial"/>
                <w:sz w:val="18"/>
                <w:szCs w:val="18"/>
                <w:color w:val="auto"/>
              </w:rPr>
              <w:t>means any special purpose vehicle which:</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8700" w:type="dxa"/>
            <w:vAlign w:val="bottom"/>
            <w:vMerge w:val="restart"/>
          </w:tcPr>
          <w:p>
            <w:pPr>
              <w:ind w:left="120"/>
              <w:spacing w:after="0"/>
              <w:rPr>
                <w:sz w:val="20"/>
                <w:szCs w:val="20"/>
                <w:color w:val="auto"/>
              </w:rPr>
            </w:pPr>
            <w:r>
              <w:rPr>
                <w:rFonts w:ascii="Arial" w:cs="Arial" w:eastAsia="Arial" w:hAnsi="Arial"/>
                <w:sz w:val="18"/>
                <w:szCs w:val="18"/>
                <w:color w:val="auto"/>
              </w:rPr>
              <w:t>(i) is registered outside of the PRC solely: (a) in order to facilitate an exit by foreign investors; or (b) for tax</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purposes; and</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(ii)  does not conduct any business or hold any assets (other than shares in its Subsidiaries);</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Operational Start-up Date</w:t>
            </w:r>
            <w:r>
              <w:rPr>
                <w:rFonts w:ascii="Arial" w:cs="Arial" w:eastAsia="Arial" w:hAnsi="Arial"/>
                <w:sz w:val="18"/>
                <w:szCs w:val="18"/>
                <w:color w:val="auto"/>
                <w:w w:val="99"/>
              </w:rPr>
              <w:t>”</w:t>
            </w:r>
          </w:p>
        </w:tc>
        <w:tc>
          <w:tcPr>
            <w:tcW w:w="8700" w:type="dxa"/>
            <w:vAlign w:val="bottom"/>
          </w:tcPr>
          <w:p>
            <w:pPr>
              <w:ind w:left="120"/>
              <w:spacing w:after="0"/>
              <w:rPr>
                <w:sz w:val="20"/>
                <w:szCs w:val="20"/>
                <w:color w:val="auto"/>
              </w:rPr>
            </w:pPr>
            <w:r>
              <w:rPr>
                <w:rFonts w:ascii="Arial" w:cs="Arial" w:eastAsia="Arial" w:hAnsi="Arial"/>
                <w:sz w:val="18"/>
                <w:szCs w:val="18"/>
                <w:color w:val="auto"/>
              </w:rPr>
              <w:t>has the meaning given to that term in the Investment Agreement;</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ARM Product(s)</w:t>
            </w:r>
            <w:r>
              <w:rPr>
                <w:rFonts w:ascii="Arial" w:cs="Arial" w:eastAsia="Arial" w:hAnsi="Arial"/>
                <w:sz w:val="18"/>
                <w:szCs w:val="18"/>
                <w:color w:val="auto"/>
              </w:rPr>
              <w:t>”</w:t>
            </w:r>
          </w:p>
        </w:tc>
        <w:tc>
          <w:tcPr>
            <w:tcW w:w="8700" w:type="dxa"/>
            <w:vAlign w:val="bottom"/>
          </w:tcPr>
          <w:p>
            <w:pPr>
              <w:ind w:left="120"/>
              <w:spacing w:after="0"/>
              <w:rPr>
                <w:sz w:val="20"/>
                <w:szCs w:val="20"/>
                <w:color w:val="auto"/>
              </w:rPr>
            </w:pPr>
            <w:r>
              <w:rPr>
                <w:rFonts w:ascii="Arial" w:cs="Arial" w:eastAsia="Arial" w:hAnsi="Arial"/>
                <w:sz w:val="18"/>
                <w:szCs w:val="18"/>
                <w:color w:val="auto"/>
                <w:w w:val="93"/>
              </w:rPr>
              <w:t>means, from time to time, all then-current ARM Semiconductor Technology licensed as “ARM Technology” (as such</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term is defined in the relevant ARM Model License) pursuant to the ARM Model Licenses (including M</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w w:val="90"/>
              </w:rPr>
              <w:t>Class Original Products), Licensed ARM Architectures and all support and maintenance and training services provided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with respect to such technology, but excluding:</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(i) Excluded Products;</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(ii)  ARM Derivative Products;</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(iii)  Derivative Products; and</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(iv) Independent Products;</w:t>
            </w:r>
          </w:p>
        </w:tc>
        <w:tc>
          <w:tcPr>
            <w:tcW w:w="0" w:type="dxa"/>
            <w:vAlign w:val="bottom"/>
          </w:tcPr>
          <w:p>
            <w:pPr>
              <w:spacing w:after="0"/>
              <w:rPr>
                <w:sz w:val="1"/>
                <w:szCs w:val="1"/>
                <w:color w:val="auto"/>
              </w:rPr>
            </w:pPr>
          </w:p>
        </w:tc>
      </w:tr>
      <w:tr>
        <w:trPr>
          <w:trHeight w:val="319"/>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Alternative</w:t>
            </w:r>
          </w:p>
        </w:tc>
        <w:tc>
          <w:tcPr>
            <w:tcW w:w="8700" w:type="dxa"/>
            <w:vAlign w:val="bottom"/>
          </w:tcPr>
          <w:p>
            <w:pPr>
              <w:ind w:left="120"/>
              <w:spacing w:after="0"/>
              <w:rPr>
                <w:sz w:val="20"/>
                <w:szCs w:val="20"/>
                <w:color w:val="auto"/>
              </w:rPr>
            </w:pPr>
            <w:r>
              <w:rPr>
                <w:rFonts w:ascii="Arial" w:cs="Arial" w:eastAsia="Arial" w:hAnsi="Arial"/>
                <w:sz w:val="18"/>
                <w:szCs w:val="18"/>
                <w:color w:val="auto"/>
              </w:rPr>
              <w:t>has the meaning given to that term in Clause 5.10;</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Workaround</w:t>
            </w:r>
            <w:r>
              <w:rPr>
                <w:rFonts w:ascii="Arial" w:cs="Arial" w:eastAsia="Arial" w:hAnsi="Arial"/>
                <w:sz w:val="18"/>
                <w:szCs w:val="18"/>
                <w:color w:val="auto"/>
              </w:rPr>
              <w:t>”</w:t>
            </w: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Derivative</w:t>
            </w:r>
          </w:p>
        </w:tc>
        <w:tc>
          <w:tcPr>
            <w:tcW w:w="8700" w:type="dxa"/>
            <w:vAlign w:val="bottom"/>
          </w:tcPr>
          <w:p>
            <w:pPr>
              <w:ind w:left="120"/>
              <w:spacing w:after="0"/>
              <w:rPr>
                <w:sz w:val="20"/>
                <w:szCs w:val="20"/>
                <w:color w:val="auto"/>
              </w:rPr>
            </w:pPr>
            <w:r>
              <w:rPr>
                <w:rFonts w:ascii="Arial" w:cs="Arial" w:eastAsia="Arial" w:hAnsi="Arial"/>
                <w:sz w:val="18"/>
                <w:szCs w:val="18"/>
                <w:color w:val="auto"/>
              </w:rPr>
              <w:t>means Derivative Products that are not Mutual Roadmap Derivative Products;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Product(s)</w:t>
            </w:r>
            <w:r>
              <w:rPr>
                <w:rFonts w:ascii="Arial" w:cs="Arial" w:eastAsia="Arial" w:hAnsi="Arial"/>
                <w:sz w:val="18"/>
                <w:szCs w:val="18"/>
                <w:color w:val="auto"/>
              </w:rPr>
              <w:t>”</w:t>
            </w: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Direct Licensing</w:t>
            </w:r>
          </w:p>
        </w:tc>
        <w:tc>
          <w:tcPr>
            <w:tcW w:w="8700" w:type="dxa"/>
            <w:vAlign w:val="bottom"/>
          </w:tcPr>
          <w:p>
            <w:pPr>
              <w:ind w:left="120"/>
              <w:spacing w:after="0"/>
              <w:rPr>
                <w:sz w:val="20"/>
                <w:szCs w:val="20"/>
                <w:color w:val="auto"/>
              </w:rPr>
            </w:pPr>
            <w:r>
              <w:rPr>
                <w:rFonts w:ascii="Arial" w:cs="Arial" w:eastAsia="Arial" w:hAnsi="Arial"/>
                <w:sz w:val="18"/>
                <w:szCs w:val="18"/>
                <w:color w:val="auto"/>
              </w:rPr>
              <w:t>has the meaning given to that term in Clause 5.10;</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Arrangement</w:t>
            </w:r>
            <w:r>
              <w:rPr>
                <w:rFonts w:ascii="Arial" w:cs="Arial" w:eastAsia="Arial" w:hAnsi="Arial"/>
                <w:sz w:val="18"/>
                <w:szCs w:val="18"/>
                <w:color w:val="auto"/>
              </w:rPr>
              <w:t>”</w:t>
            </w: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Outgoing Licensor</w:t>
            </w:r>
            <w:r>
              <w:rPr>
                <w:rFonts w:ascii="Arial" w:cs="Arial" w:eastAsia="Arial" w:hAnsi="Arial"/>
                <w:sz w:val="18"/>
                <w:szCs w:val="18"/>
                <w:color w:val="auto"/>
              </w:rPr>
              <w:t>”</w:t>
            </w:r>
          </w:p>
        </w:tc>
        <w:tc>
          <w:tcPr>
            <w:tcW w:w="8700" w:type="dxa"/>
            <w:vAlign w:val="bottom"/>
          </w:tcPr>
          <w:p>
            <w:pPr>
              <w:ind w:left="120"/>
              <w:spacing w:after="0"/>
              <w:rPr>
                <w:sz w:val="20"/>
                <w:szCs w:val="20"/>
                <w:color w:val="auto"/>
              </w:rPr>
            </w:pPr>
            <w:r>
              <w:rPr>
                <w:rFonts w:ascii="Arial" w:cs="Arial" w:eastAsia="Arial" w:hAnsi="Arial"/>
                <w:sz w:val="18"/>
                <w:szCs w:val="18"/>
                <w:color w:val="auto"/>
              </w:rPr>
              <w:t>has the meaning given to that term in Clause 32.1.7;</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 or Payable</w:t>
            </w:r>
            <w:r>
              <w:rPr>
                <w:rFonts w:ascii="Arial" w:cs="Arial" w:eastAsia="Arial" w:hAnsi="Arial"/>
                <w:sz w:val="18"/>
                <w:szCs w:val="18"/>
                <w:color w:val="auto"/>
              </w:rPr>
              <w:t>”</w:t>
            </w:r>
          </w:p>
        </w:tc>
        <w:tc>
          <w:tcPr>
            <w:tcW w:w="8700" w:type="dxa"/>
            <w:vAlign w:val="bottom"/>
          </w:tcPr>
          <w:p>
            <w:pPr>
              <w:ind w:left="120"/>
              <w:spacing w:after="0"/>
              <w:rPr>
                <w:sz w:val="20"/>
                <w:szCs w:val="20"/>
                <w:color w:val="auto"/>
              </w:rPr>
            </w:pPr>
            <w:r>
              <w:rPr>
                <w:rFonts w:ascii="Arial" w:cs="Arial" w:eastAsia="Arial" w:hAnsi="Arial"/>
                <w:sz w:val="18"/>
                <w:szCs w:val="18"/>
                <w:color w:val="auto"/>
              </w:rPr>
              <w:t>means, for a relevant period:</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(i) amounts in respect of which an invoice has been issued in that period; and</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(ii)  any amounts otherwise paid in that period without the issuing of an invoice;</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8700" w:type="dxa"/>
            <w:vAlign w:val="bottom"/>
          </w:tcPr>
          <w:p>
            <w:pPr>
              <w:ind w:left="120"/>
              <w:spacing w:after="0"/>
              <w:rPr>
                <w:sz w:val="20"/>
                <w:szCs w:val="20"/>
                <w:color w:val="auto"/>
              </w:rPr>
            </w:pPr>
            <w:r>
              <w:rPr>
                <w:rFonts w:ascii="Arial" w:cs="Arial" w:eastAsia="Arial" w:hAnsi="Arial"/>
                <w:sz w:val="18"/>
                <w:szCs w:val="18"/>
                <w:color w:val="auto"/>
              </w:rPr>
              <w:t>have the meanings given to those terms in the Recitals above;</w:t>
            </w:r>
          </w:p>
        </w:tc>
        <w:tc>
          <w:tcPr>
            <w:tcW w:w="0" w:type="dxa"/>
            <w:vAlign w:val="bottom"/>
          </w:tcPr>
          <w:p>
            <w:pPr>
              <w:spacing w:after="0"/>
              <w:rPr>
                <w:sz w:val="1"/>
                <w:szCs w:val="1"/>
                <w:color w:val="auto"/>
              </w:rPr>
            </w:pPr>
          </w:p>
        </w:tc>
      </w:tr>
      <w:tr>
        <w:trPr>
          <w:trHeight w:val="364"/>
        </w:trPr>
        <w:tc>
          <w:tcPr>
            <w:tcW w:w="2300" w:type="dxa"/>
            <w:vAlign w:val="bottom"/>
          </w:tcPr>
          <w:p>
            <w:pPr>
              <w:spacing w:after="0"/>
              <w:rPr>
                <w:sz w:val="24"/>
                <w:szCs w:val="24"/>
                <w:color w:val="auto"/>
              </w:rPr>
            </w:pPr>
          </w:p>
        </w:tc>
        <w:tc>
          <w:tcPr>
            <w:tcW w:w="8700" w:type="dxa"/>
            <w:vAlign w:val="bottom"/>
          </w:tcPr>
          <w:p>
            <w:pPr>
              <w:ind w:left="3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4" w:name="page315"/>
    <w:bookmarkEnd w:id="314"/>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means rights to inventions, patents, design patents, patent applications, supplementary protection certificates and any reissues, re-examinations, divisionals, continuations, continuations-in-part, provisionals, extensions thereof or any counterparts to any of the foregoing (including rights resulting from any post-grant proceedings relating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-652145</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700" w:space="720"/>
            <w:col w:w="8580"/>
          </w:cols>
          <w:pgMar w:left="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“Paying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65"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 in relation to JVCo Charges, JVCo; and</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in relation to ARM Charges, ARM;</w:t>
      </w:r>
    </w:p>
    <w:p>
      <w:pPr>
        <w:sectPr>
          <w:pgSz w:w="11900" w:h="16838" w:orient="portrait"/>
          <w:cols w:equalWidth="0" w:num="1">
            <w:col w:w="11000"/>
          </w:cols>
          <w:pgMar w:left="440" w:top="270" w:right="4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Dispute”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26.4;</w:t>
      </w:r>
    </w:p>
    <w:p>
      <w:pPr>
        <w:spacing w:after="0" w:line="13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ind w:right="300"/>
        <w:spacing w:after="0" w:line="347" w:lineRule="auto"/>
        <w:rPr>
          <w:sz w:val="20"/>
          <w:szCs w:val="20"/>
          <w:color w:val="auto"/>
        </w:rPr>
      </w:pPr>
      <w:r>
        <w:rPr>
          <w:rFonts w:ascii="Arial" w:cs="Arial" w:eastAsia="Arial" w:hAnsi="Arial"/>
          <w:sz w:val="16"/>
          <w:szCs w:val="16"/>
          <w:b w:val="1"/>
          <w:bCs w:val="1"/>
          <w:color w:val="auto"/>
        </w:rPr>
        <w:t>“Payment Dispute Escalation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26.5.2;</w:t>
      </w:r>
    </w:p>
    <w:p>
      <w:pPr>
        <w:spacing w:after="0" w:line="352"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24.2;</w:t>
      </w:r>
    </w:p>
    <w:p>
      <w:pPr>
        <w:spacing w:after="0" w:line="136"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Deviations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308" w:lineRule="auto"/>
        <w:rPr>
          <w:sz w:val="20"/>
          <w:szCs w:val="20"/>
          <w:color w:val="auto"/>
        </w:rPr>
      </w:pPr>
      <w:r>
        <w:rPr>
          <w:rFonts w:ascii="Arial" w:cs="Arial" w:eastAsia="Arial" w:hAnsi="Arial"/>
          <w:sz w:val="17"/>
          <w:szCs w:val="17"/>
          <w:color w:val="auto"/>
        </w:rPr>
        <w:t>means any deviations from the terms of the relevant Applicable Model License which either: (i) are not material in the context of the business of ARM or JVCo; or (ii) which have been prescribed as permitted deviations by:</w:t>
      </w:r>
    </w:p>
    <w:p>
      <w:pPr>
        <w:spacing w:after="0" w:line="52" w:lineRule="exact"/>
        <w:rPr>
          <w:sz w:val="20"/>
          <w:szCs w:val="20"/>
          <w:color w:val="auto"/>
        </w:rPr>
      </w:pPr>
    </w:p>
    <w:p>
      <w:pPr>
        <w:sectPr>
          <w:pgSz w:w="11900" w:h="16838" w:orient="portrait"/>
          <w:cols w:equalWidth="0" w:num="2">
            <w:col w:w="1780" w:space="640"/>
            <w:col w:w="8580"/>
          </w:cols>
          <w:pgMar w:left="440" w:top="270" w:right="459" w:bottom="1440" w:gutter="0" w:footer="0" w:header="0"/>
          <w:type w:val="continuous"/>
        </w:sectPr>
      </w:pPr>
    </w:p>
    <w:p>
      <w:pPr>
        <w:ind w:left="2420"/>
        <w:spacing w:after="0"/>
        <w:rPr>
          <w:sz w:val="20"/>
          <w:szCs w:val="20"/>
          <w:color w:val="auto"/>
        </w:rPr>
      </w:pPr>
      <w:r>
        <w:rPr>
          <w:rFonts w:ascii="Arial" w:cs="Arial" w:eastAsia="Arial" w:hAnsi="Arial"/>
          <w:sz w:val="18"/>
          <w:szCs w:val="18"/>
          <w:color w:val="auto"/>
        </w:rPr>
        <w:t>(i) ARM (in the case of Original ARM Products);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(ii)  the Roadmap Committee (in the case of Derivative Products and ARM Derivative Products); or</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  JVCo (in the case of Independent Products).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each case, taking into account the factors set out at paragraph 1 of Schedule 4;</w:t>
      </w:r>
    </w:p>
    <w:p>
      <w:pPr>
        <w:sectPr>
          <w:pgSz w:w="11900" w:h="16838" w:orient="portrait"/>
          <w:cols w:equalWidth="0" w:num="1">
            <w:col w:w="11000"/>
          </w:cols>
          <w:pgMar w:left="440" w:top="270" w:right="4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means any individual, partnership, limited partnership, corporation, limited liability company, other body corporate, association, joint stock company, trust, joint venture, consortium, unincorporated organisation, including entities established by contract or by Applicable Law whether or not having a separate legal identity;</w:t>
      </w:r>
    </w:p>
    <w:p>
      <w:pPr>
        <w:spacing w:after="0" w:line="53"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the People’s Republic of China including the Hong Kong Special Administrative Region and the Macau Special Administrative Region but excluding Taiwan;</w:t>
      </w:r>
    </w:p>
    <w:p>
      <w:pPr>
        <w:spacing w:after="0" w:line="103"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00"/>
          </w:cols>
          <w:pgMar w:left="440" w:top="270" w:right="459" w:bottom="1440" w:gutter="0" w:footer="0" w:header="0"/>
          <w:type w:val="continuous"/>
        </w:sectPr>
      </w:pPr>
    </w:p>
    <w:bookmarkStart w:id="315" w:name="page316"/>
    <w:bookmarkEnd w:id="315"/>
    <w:p>
      <w:pPr>
        <w:spacing w:after="0"/>
        <w:tabs>
          <w:tab w:leader="none" w:pos="2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PRC Licensees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means:</w:t>
      </w:r>
    </w:p>
    <w:p>
      <w:pPr>
        <w:spacing w:after="0" w:line="13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(A)  for the licensing of all JVCo Licensed Products other than DSG Tools: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(i) all entities that are Listed PRC Entities and all entities whose Ultimate Parent is a Listed PRC Entity;</w:t>
      </w:r>
    </w:p>
    <w:p>
      <w:pPr>
        <w:spacing w:after="0" w:line="131" w:lineRule="exact"/>
        <w:rPr>
          <w:sz w:val="20"/>
          <w:szCs w:val="20"/>
          <w:color w:val="auto"/>
        </w:rPr>
      </w:pPr>
    </w:p>
    <w:p>
      <w:pPr>
        <w:ind w:left="2780" w:hanging="359"/>
        <w:spacing w:after="0" w:line="277" w:lineRule="auto"/>
        <w:rPr>
          <w:sz w:val="20"/>
          <w:szCs w:val="20"/>
          <w:color w:val="auto"/>
        </w:rPr>
      </w:pPr>
      <w:r>
        <w:rPr>
          <w:rFonts w:ascii="Arial" w:cs="Arial" w:eastAsia="Arial" w:hAnsi="Arial"/>
          <w:sz w:val="18"/>
          <w:szCs w:val="18"/>
          <w:color w:val="auto"/>
        </w:rPr>
        <w:t>(ii)  all entities under the ultimate Control of an individual with PRC nationality (as Control is defined in the definition of Enlarged ARM Group);</w:t>
      </w:r>
    </w:p>
    <w:p>
      <w:pPr>
        <w:spacing w:after="0" w:line="76" w:lineRule="exact"/>
        <w:rPr>
          <w:sz w:val="20"/>
          <w:szCs w:val="20"/>
          <w:color w:val="auto"/>
        </w:rPr>
      </w:pPr>
    </w:p>
    <w:p>
      <w:pPr>
        <w:ind w:left="2780" w:right="40" w:hanging="359"/>
        <w:spacing w:after="0" w:line="342" w:lineRule="auto"/>
        <w:rPr>
          <w:sz w:val="20"/>
          <w:szCs w:val="20"/>
          <w:color w:val="auto"/>
        </w:rPr>
      </w:pPr>
      <w:r>
        <w:rPr>
          <w:rFonts w:ascii="Arial" w:cs="Arial" w:eastAsia="Arial" w:hAnsi="Arial"/>
          <w:sz w:val="16"/>
          <w:szCs w:val="16"/>
          <w:color w:val="auto"/>
        </w:rPr>
        <w:t>(iii)  all entities whose Ultimate Parent is a Person or Persons (other than an individual) that is incorporated in the PRC (excluding, in each case, all entities whose Ultimate Parent’s shares are traded on an official stock exchange);</w:t>
      </w:r>
    </w:p>
    <w:p>
      <w:pPr>
        <w:spacing w:after="0" w:line="29"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(iv) all entities that would fall within limb (iii) above but for the existence of any Offshore Holding Companies;</w:t>
      </w:r>
    </w:p>
    <w:p>
      <w:pPr>
        <w:spacing w:after="0" w:line="142" w:lineRule="exact"/>
        <w:rPr>
          <w:sz w:val="20"/>
          <w:szCs w:val="20"/>
          <w:color w:val="auto"/>
        </w:rPr>
      </w:pPr>
    </w:p>
    <w:p>
      <w:pPr>
        <w:ind w:left="2780" w:right="60" w:hanging="359"/>
        <w:spacing w:after="0" w:line="277" w:lineRule="auto"/>
        <w:rPr>
          <w:sz w:val="20"/>
          <w:szCs w:val="20"/>
          <w:color w:val="auto"/>
        </w:rPr>
      </w:pPr>
      <w:r>
        <w:rPr>
          <w:rFonts w:ascii="Arial" w:cs="Arial" w:eastAsia="Arial" w:hAnsi="Arial"/>
          <w:sz w:val="18"/>
          <w:szCs w:val="18"/>
          <w:color w:val="auto"/>
        </w:rPr>
        <w:t>(v)   as at the date of this Agreement, but subject to Clause 32.1, all entities that are identified in Part I (including both Sections A and B) of Schedule 1; and</w:t>
      </w:r>
    </w:p>
    <w:p>
      <w:pPr>
        <w:spacing w:after="0" w:line="76" w:lineRule="exact"/>
        <w:rPr>
          <w:sz w:val="20"/>
          <w:szCs w:val="20"/>
          <w:color w:val="auto"/>
        </w:rPr>
      </w:pPr>
    </w:p>
    <w:p>
      <w:pPr>
        <w:ind w:left="2780" w:right="420" w:hanging="359"/>
        <w:spacing w:after="0" w:line="308" w:lineRule="auto"/>
        <w:rPr>
          <w:sz w:val="20"/>
          <w:szCs w:val="20"/>
          <w:color w:val="auto"/>
        </w:rPr>
      </w:pPr>
      <w:r>
        <w:rPr>
          <w:rFonts w:ascii="Arial" w:cs="Arial" w:eastAsia="Arial" w:hAnsi="Arial"/>
          <w:sz w:val="17"/>
          <w:szCs w:val="17"/>
          <w:color w:val="auto"/>
        </w:rPr>
        <w:t>(vi) all entities as are otherwise designated by JVCo and ARM pursuant to the terms of this Agreement as a PRC Licensee for the purposes of licensing of JVCo Licensed Products other than DSG Tools; and</w:t>
      </w:r>
    </w:p>
    <w:p>
      <w:pPr>
        <w:spacing w:after="0" w:line="5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(B)  for the distribution arrangement for DSG Tools:</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(i) all entities that are registered in the PRC;</w:t>
      </w:r>
    </w:p>
    <w:p>
      <w:pPr>
        <w:spacing w:after="0" w:line="131" w:lineRule="exact"/>
        <w:rPr>
          <w:sz w:val="20"/>
          <w:szCs w:val="20"/>
          <w:color w:val="auto"/>
        </w:rPr>
      </w:pPr>
    </w:p>
    <w:p>
      <w:pPr>
        <w:ind w:left="2780" w:right="80" w:hanging="359"/>
        <w:spacing w:after="0" w:line="277" w:lineRule="auto"/>
        <w:rPr>
          <w:sz w:val="20"/>
          <w:szCs w:val="20"/>
          <w:color w:val="auto"/>
        </w:rPr>
      </w:pPr>
      <w:r>
        <w:rPr>
          <w:rFonts w:ascii="Arial" w:cs="Arial" w:eastAsia="Arial" w:hAnsi="Arial"/>
          <w:sz w:val="18"/>
          <w:szCs w:val="18"/>
          <w:color w:val="auto"/>
        </w:rPr>
        <w:t>(ii)  as at the date of this Agreement, but subject to Clause 32.1, all entities that are identified in Part II of Schedule 1; and</w:t>
      </w:r>
    </w:p>
    <w:p>
      <w:pPr>
        <w:spacing w:after="0" w:line="76" w:lineRule="exact"/>
        <w:rPr>
          <w:sz w:val="20"/>
          <w:szCs w:val="20"/>
          <w:color w:val="auto"/>
        </w:rPr>
      </w:pPr>
    </w:p>
    <w:p>
      <w:pPr>
        <w:ind w:left="2780" w:right="420" w:hanging="359"/>
        <w:spacing w:after="0" w:line="277" w:lineRule="auto"/>
        <w:rPr>
          <w:sz w:val="20"/>
          <w:szCs w:val="20"/>
          <w:color w:val="auto"/>
        </w:rPr>
      </w:pPr>
      <w:r>
        <w:rPr>
          <w:rFonts w:ascii="Arial" w:cs="Arial" w:eastAsia="Arial" w:hAnsi="Arial"/>
          <w:sz w:val="18"/>
          <w:szCs w:val="18"/>
          <w:color w:val="auto"/>
        </w:rPr>
        <w:t>(iii)  all entities as are otherwise designated by JVCo and ARM pursuant to the terms of this Agreement as a PRC Licensee for the purposes of DSG Tools distribution;</w:t>
      </w:r>
    </w:p>
    <w:p>
      <w:pPr>
        <w:spacing w:after="0" w:line="7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 each of (A) and (B), excluding any member of the JVCo Group;</w:t>
      </w:r>
    </w:p>
    <w:p>
      <w:pPr>
        <w:spacing w:after="0" w:line="127"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Prescribed Security Audit</w:t>
      </w:r>
      <w:r>
        <w:rPr>
          <w:sz w:val="20"/>
          <w:szCs w:val="20"/>
          <w:color w:val="auto"/>
        </w:rPr>
        <w:tab/>
      </w:r>
      <w:r>
        <w:rPr>
          <w:rFonts w:ascii="Arial" w:cs="Arial" w:eastAsia="Arial" w:hAnsi="Arial"/>
          <w:sz w:val="16"/>
          <w:szCs w:val="16"/>
          <w:color w:val="auto"/>
        </w:rPr>
        <w:t>means the Intellectual Property security audit processes implemented by ARM from time to time with respect to the</w:t>
      </w:r>
    </w:p>
    <w:p>
      <w:pPr>
        <w:spacing w:after="0" w:line="27" w:lineRule="exact"/>
        <w:rPr>
          <w:sz w:val="20"/>
          <w:szCs w:val="20"/>
          <w:color w:val="auto"/>
        </w:rPr>
      </w:pPr>
    </w:p>
    <w:p>
      <w:pPr>
        <w:ind w:left="2420" w:right="140" w:hanging="2429"/>
        <w:spacing w:after="0" w:line="260" w:lineRule="auto"/>
        <w:tabs>
          <w:tab w:leader="none" w:pos="2400" w:val="left"/>
        </w:tabs>
        <w:rPr>
          <w:sz w:val="20"/>
          <w:szCs w:val="20"/>
          <w:color w:val="auto"/>
        </w:rPr>
      </w:pPr>
      <w:r>
        <w:rPr>
          <w:rFonts w:ascii="Arial" w:cs="Arial" w:eastAsia="Arial" w:hAnsi="Arial"/>
          <w:sz w:val="18"/>
          <w:szCs w:val="18"/>
          <w:b w:val="1"/>
          <w:bCs w:val="1"/>
          <w:color w:val="auto"/>
        </w:rPr>
        <w:t>Requirements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licensing of products to its licensees (which may vary as between different products) and disclosed by ARM to JVCo from time to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b w:val="1"/>
          <w:bCs w:val="1"/>
          <w:color w:val="auto"/>
        </w:rPr>
        <w:t>“Product Claim”</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means a claim (or series of claims arising from the same event) brought by a Party against another Party (and, for the avoidance of doubt, the question of whether the claims arise from the “same event” shall be decided by the arbitration tribunal in accordance with Clause 40 in the event of a Dispute on the issue), where that claim relates to a specific JVCo Licensed Product (excluding, in the case of ARM, a claim that relates to an ARM Licensee Claim, and in the case of JVCo, a claim that relates to a JVCo Licensee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-795655</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1700" w:space="720"/>
            <w:col w:w="8580"/>
          </w:cols>
          <w:pgMar w:left="440" w:top="270" w:right="459" w:bottom="1440" w:gutter="0" w:footer="0" w:header="0"/>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 IP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64"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(i) the ARM IP that subsists in any ARM Documentation; and</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any other ARM Semiconductor Technology IP,</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but excluding any Trade Marks;</w:t>
      </w:r>
    </w:p>
    <w:p>
      <w:pPr>
        <w:sectPr>
          <w:pgSz w:w="11900" w:h="16838" w:orient="portrait"/>
          <w:cols w:equalWidth="0" w:num="1">
            <w:col w:w="11000"/>
          </w:cols>
          <w:pgMar w:left="440" w:top="270" w:right="459" w:bottom="1440" w:gutter="0" w:footer="0" w:header="0"/>
          <w:type w:val="continuous"/>
        </w:sectPr>
      </w:pPr>
    </w:p>
    <w:p>
      <w:pPr>
        <w:spacing w:after="0" w:line="127"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Product Lifecycle</w:t>
      </w:r>
      <w:r>
        <w:rPr>
          <w:rFonts w:ascii="Arial" w:cs="Arial" w:eastAsia="Arial" w:hAnsi="Arial"/>
          <w:sz w:val="16"/>
          <w:szCs w:val="16"/>
          <w:color w:val="auto"/>
        </w:rPr>
        <w:t xml:space="preserve"> </w:t>
      </w:r>
      <w:r>
        <w:rPr>
          <w:rFonts w:ascii="Arial" w:cs="Arial" w:eastAsia="Arial" w:hAnsi="Arial"/>
          <w:sz w:val="16"/>
          <w:szCs w:val="16"/>
          <w:b w:val="1"/>
          <w:bCs w:val="1"/>
          <w:color w:val="auto"/>
        </w:rPr>
        <w:t>Management Requirements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means the terminology and processes adopted by ARM from time to time in relation to: (i) managing the development of a new product (including, without limitation, the use of specified stages to identify whether a product is still at concept stage or whether it has progressed to the advanced planning/development stage); and (ii) adopting the requisite level of commitment (relative to the stage in product development) for the release of the product and related timing;</w:t>
      </w:r>
    </w:p>
    <w:p>
      <w:pPr>
        <w:spacing w:after="0" w:line="45" w:lineRule="exact"/>
        <w:rPr>
          <w:sz w:val="20"/>
          <w:szCs w:val="20"/>
          <w:color w:val="auto"/>
        </w:rPr>
      </w:pPr>
    </w:p>
    <w:p>
      <w:pPr>
        <w:sectPr>
          <w:pgSz w:w="11900" w:h="16838" w:orient="portrait"/>
          <w:cols w:equalWidth="0" w:num="2">
            <w:col w:w="2200" w:space="2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“Prohibited Person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75" w:lineRule="auto"/>
        <w:rPr>
          <w:sz w:val="20"/>
          <w:szCs w:val="20"/>
          <w:color w:val="auto"/>
        </w:rPr>
      </w:pPr>
      <w:r>
        <w:rPr>
          <w:rFonts w:ascii="Arial" w:cs="Arial" w:eastAsia="Arial" w:hAnsi="Arial"/>
          <w:sz w:val="17"/>
          <w:szCs w:val="17"/>
          <w:color w:val="auto"/>
        </w:rPr>
        <w:t>means any end user who has been prohibited from participating in U.S. export transactions by any federal agency of the U.S. Government by public order or inclusion on a public list, including the Department of Treasury’s List of Specially Designated Nationals and the U.S. Department of Commerce’s List of Denied Persons and Entity List; and any entity owned 50% or more by a person prohibited from participating in U.S. export transactions by any federal agency of the U.S. Government as described herein;</w:t>
      </w:r>
    </w:p>
    <w:p>
      <w:pPr>
        <w:spacing w:after="0" w:line="64"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165"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(i) in relation to JVCo Charges, ARM; and</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in relation to ARM Charges, JVCo;</w:t>
      </w:r>
    </w:p>
    <w:p>
      <w:pPr>
        <w:sectPr>
          <w:pgSz w:w="11900" w:h="16838" w:orient="portrait"/>
          <w:cols w:equalWidth="0" w:num="1">
            <w:col w:w="11000"/>
          </w:cols>
          <w:pgMar w:left="440" w:top="270" w:right="45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Rectification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29.2;</w:t>
      </w:r>
    </w:p>
    <w:p>
      <w:pPr>
        <w:spacing w:after="0" w:line="181" w:lineRule="exact"/>
        <w:rPr>
          <w:sz w:val="20"/>
          <w:szCs w:val="20"/>
          <w:color w:val="auto"/>
        </w:rPr>
      </w:pPr>
    </w:p>
    <w:p>
      <w:pPr>
        <w:sectPr>
          <w:pgSz w:w="11900" w:h="16838" w:orient="portrait"/>
          <w:cols w:equalWidth="0" w:num="2">
            <w:col w:w="1700" w:space="720"/>
            <w:col w:w="8580"/>
          </w:cols>
          <w:pgMar w:left="440" w:top="270"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00"/>
          </w:cols>
          <w:pgMar w:left="440" w:top="270" w:right="459" w:bottom="1440" w:gutter="0" w:footer="0" w:header="0"/>
          <w:type w:val="continuous"/>
        </w:sectPr>
      </w:pPr>
    </w:p>
    <w:bookmarkStart w:id="317" w:name="page318"/>
    <w:bookmarkEnd w:id="317"/>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Recurring Wilful</w:t>
            </w:r>
          </w:p>
        </w:tc>
        <w:tc>
          <w:tcPr>
            <w:tcW w:w="8820" w:type="dxa"/>
            <w:vAlign w:val="bottom"/>
          </w:tcPr>
          <w:p>
            <w:pPr>
              <w:ind w:left="28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Exclusivity Breach</w:t>
            </w:r>
            <w:r>
              <w:rPr>
                <w:rFonts w:ascii="Arial" w:cs="Arial" w:eastAsia="Arial" w:hAnsi="Arial"/>
                <w:sz w:val="18"/>
                <w:szCs w:val="18"/>
                <w:color w:val="auto"/>
              </w:rPr>
              <w:t>”</w:t>
            </w:r>
          </w:p>
        </w:tc>
        <w:tc>
          <w:tcPr>
            <w:tcW w:w="8820" w:type="dxa"/>
            <w:vAlign w:val="bottom"/>
            <w:vMerge w:val="restart"/>
          </w:tcPr>
          <w:p>
            <w:pPr>
              <w:ind w:left="280"/>
              <w:spacing w:after="0"/>
              <w:rPr>
                <w:sz w:val="20"/>
                <w:szCs w:val="20"/>
                <w:color w:val="auto"/>
              </w:rPr>
            </w:pPr>
            <w:r>
              <w:rPr>
                <w:rFonts w:ascii="Arial" w:cs="Arial" w:eastAsia="Arial" w:hAnsi="Arial"/>
                <w:sz w:val="18"/>
                <w:szCs w:val="18"/>
                <w:color w:val="auto"/>
                <w:w w:val="91"/>
              </w:rPr>
              <w:t>(i) in the case of ARM, a deliberate breach of Clause 2 (committed in the knowledge that such act is a breach of this</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9"/>
                <w:szCs w:val="9"/>
                <w:color w:val="auto"/>
              </w:rPr>
            </w:pPr>
          </w:p>
        </w:tc>
        <w:tc>
          <w:tcPr>
            <w:tcW w:w="8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rPr>
              <w:t>Agreement); and</w:t>
            </w:r>
          </w:p>
        </w:tc>
        <w:tc>
          <w:tcPr>
            <w:tcW w:w="0" w:type="dxa"/>
            <w:vAlign w:val="bottom"/>
          </w:tcPr>
          <w:p>
            <w:pPr>
              <w:spacing w:after="0"/>
              <w:rPr>
                <w:sz w:val="1"/>
                <w:szCs w:val="1"/>
                <w:color w:val="auto"/>
              </w:rPr>
            </w:pPr>
          </w:p>
        </w:tc>
      </w:tr>
      <w:tr>
        <w:trPr>
          <w:trHeight w:val="323"/>
        </w:trPr>
        <w:tc>
          <w:tcPr>
            <w:tcW w:w="2140" w:type="dxa"/>
            <w:vAlign w:val="bottom"/>
          </w:tcPr>
          <w:p>
            <w:pPr>
              <w:spacing w:after="0"/>
              <w:rPr>
                <w:sz w:val="24"/>
                <w:szCs w:val="24"/>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3"/>
              </w:rPr>
              <w:t>(ii)  in the case of JVCo, a deliberate breach of Clause 14.1 or 14.2 (committed in the knowledge that such act is a</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rPr>
              <w:t>breach of this Agreement),</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4"/>
                <w:szCs w:val="24"/>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Wilful Exclusivity Breach</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4"/>
                <w:szCs w:val="24"/>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1"/>
              </w:rPr>
              <w:t>in each case, where such breach by a Party has been preceded by a previous Wilful Exclusivity Breach by that Party;</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Capital</w:t>
            </w:r>
            <w:r>
              <w:rPr>
                <w:rFonts w:ascii="Arial" w:cs="Arial" w:eastAsia="Arial" w:hAnsi="Arial"/>
                <w:sz w:val="18"/>
                <w:szCs w:val="18"/>
                <w:color w:val="auto"/>
              </w:rPr>
              <w:t>”</w:t>
            </w:r>
          </w:p>
        </w:tc>
        <w:tc>
          <w:tcPr>
            <w:tcW w:w="8820" w:type="dxa"/>
            <w:vAlign w:val="bottom"/>
          </w:tcPr>
          <w:p>
            <w:pPr>
              <w:ind w:left="280"/>
              <w:spacing w:after="0"/>
              <w:rPr>
                <w:sz w:val="20"/>
                <w:szCs w:val="20"/>
                <w:color w:val="auto"/>
              </w:rPr>
            </w:pPr>
            <w:r>
              <w:rPr>
                <w:rFonts w:ascii="Arial" w:cs="Arial" w:eastAsia="Arial" w:hAnsi="Arial"/>
                <w:sz w:val="18"/>
                <w:szCs w:val="18"/>
                <w:color w:val="auto"/>
              </w:rPr>
              <w:t>has the meaning given to that term in the Joint Venture Contract;</w:t>
            </w:r>
          </w:p>
        </w:tc>
        <w:tc>
          <w:tcPr>
            <w:tcW w:w="0" w:type="dxa"/>
            <w:vAlign w:val="bottom"/>
          </w:tcPr>
          <w:p>
            <w:pPr>
              <w:spacing w:after="0"/>
              <w:rPr>
                <w:sz w:val="1"/>
                <w:szCs w:val="1"/>
                <w:color w:val="auto"/>
              </w:rPr>
            </w:pPr>
          </w:p>
        </w:tc>
      </w:tr>
      <w:tr>
        <w:trPr>
          <w:trHeight w:val="310"/>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IP</w:t>
            </w:r>
            <w:r>
              <w:rPr>
                <w:rFonts w:ascii="Arial" w:cs="Arial" w:eastAsia="Arial" w:hAnsi="Arial"/>
                <w:sz w:val="18"/>
                <w:szCs w:val="18"/>
                <w:color w:val="auto"/>
              </w:rPr>
              <w:t>”</w:t>
            </w:r>
          </w:p>
        </w:tc>
        <w:tc>
          <w:tcPr>
            <w:tcW w:w="8820" w:type="dxa"/>
            <w:vAlign w:val="bottom"/>
          </w:tcPr>
          <w:p>
            <w:pPr>
              <w:ind w:left="280"/>
              <w:spacing w:after="0"/>
              <w:rPr>
                <w:sz w:val="20"/>
                <w:szCs w:val="20"/>
                <w:color w:val="auto"/>
              </w:rPr>
            </w:pPr>
            <w:r>
              <w:rPr>
                <w:rFonts w:ascii="Arial" w:cs="Arial" w:eastAsia="Arial" w:hAnsi="Arial"/>
                <w:sz w:val="18"/>
                <w:szCs w:val="18"/>
                <w:color w:val="auto"/>
                <w:w w:val="94"/>
              </w:rPr>
              <w:t>means any Intellectual Property that may be made the subject of a registration or application with a Governmental</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6"/>
              </w:rPr>
              <w:t>Entity having jurisdiction with respect thereto, including the United States Patent and Trademark Office, the UK</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3"/>
              </w:rPr>
              <w:t>Intellectual Property Office, the European Union Intellectual Property Office, the State Intellectual Property Office of</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0"/>
              </w:rPr>
              <w:t>the PRC, the European Patent Office or the World Intellectual Property Organisation, or any equivalents thereof in any</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jurisdiction worldwide;</w:t>
            </w:r>
          </w:p>
        </w:tc>
        <w:tc>
          <w:tcPr>
            <w:tcW w:w="0" w:type="dxa"/>
            <w:vAlign w:val="bottom"/>
          </w:tcPr>
          <w:p>
            <w:pPr>
              <w:spacing w:after="0"/>
              <w:rPr>
                <w:sz w:val="1"/>
                <w:szCs w:val="1"/>
                <w:color w:val="auto"/>
              </w:rPr>
            </w:pPr>
          </w:p>
        </w:tc>
      </w:tr>
      <w:tr>
        <w:trPr>
          <w:trHeight w:val="310"/>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Released</w:t>
            </w:r>
            <w:r>
              <w:rPr>
                <w:rFonts w:ascii="Arial" w:cs="Arial" w:eastAsia="Arial" w:hAnsi="Arial"/>
                <w:sz w:val="18"/>
                <w:szCs w:val="18"/>
                <w:color w:val="auto"/>
              </w:rPr>
              <w:t>”</w:t>
            </w:r>
          </w:p>
        </w:tc>
        <w:tc>
          <w:tcPr>
            <w:tcW w:w="8820" w:type="dxa"/>
            <w:vAlign w:val="bottom"/>
          </w:tcPr>
          <w:p>
            <w:pPr>
              <w:ind w:left="280"/>
              <w:spacing w:after="0"/>
              <w:rPr>
                <w:sz w:val="20"/>
                <w:szCs w:val="20"/>
                <w:color w:val="auto"/>
              </w:rPr>
            </w:pPr>
            <w:r>
              <w:rPr>
                <w:rFonts w:ascii="Arial" w:cs="Arial" w:eastAsia="Arial" w:hAnsi="Arial"/>
                <w:sz w:val="18"/>
                <w:szCs w:val="18"/>
                <w:color w:val="auto"/>
                <w:w w:val="92"/>
              </w:rPr>
              <w:t>means any JVCo Licensed Product that has been both: (i) designated (by the developing Party) as LAC Release (or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1"/>
              </w:rPr>
              <w:t>EAC Release for Semiconductor Technology for which there is no LAC Release designation); and (ii) made generally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6"/>
              </w:rPr>
              <w:t>available by ARM to ARM’s licensees or prospective licensees (in the case of Original ARM Products and ARM</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w w:val="91"/>
              </w:rPr>
              <w:t>Derivative Products) or by JVCo to JVCo’s licensees or prospective licensees (in the case of Derivative Products and</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Independent Products), including following an acquisition;</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Licensed IP</w:t>
            </w:r>
            <w:r>
              <w:rPr>
                <w:rFonts w:ascii="Arial" w:cs="Arial" w:eastAsia="Arial" w:hAnsi="Arial"/>
                <w:sz w:val="18"/>
                <w:szCs w:val="18"/>
                <w:color w:val="auto"/>
              </w:rPr>
              <w:t>”</w:t>
            </w:r>
          </w:p>
        </w:tc>
        <w:tc>
          <w:tcPr>
            <w:tcW w:w="8820" w:type="dxa"/>
            <w:vAlign w:val="bottom"/>
          </w:tcPr>
          <w:p>
            <w:pPr>
              <w:ind w:left="28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4"/>
                <w:szCs w:val="24"/>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(i) with respect to ARM, the ARM Licensed IP; and</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4"/>
                <w:szCs w:val="24"/>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(ii)  with respect to JVCo, the JVCo Licensed IP;</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Payments</w:t>
            </w:r>
            <w:r>
              <w:rPr>
                <w:rFonts w:ascii="Arial" w:cs="Arial" w:eastAsia="Arial" w:hAnsi="Arial"/>
                <w:sz w:val="18"/>
                <w:szCs w:val="18"/>
                <w:color w:val="auto"/>
              </w:rPr>
              <w:t>”</w:t>
            </w:r>
          </w:p>
        </w:tc>
        <w:tc>
          <w:tcPr>
            <w:tcW w:w="8820" w:type="dxa"/>
            <w:vAlign w:val="bottom"/>
          </w:tcPr>
          <w:p>
            <w:pPr>
              <w:ind w:left="28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4"/>
                <w:szCs w:val="24"/>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(i) with respect to ARM, ARM Charges; and</w:t>
            </w:r>
          </w:p>
        </w:tc>
        <w:tc>
          <w:tcPr>
            <w:tcW w:w="0" w:type="dxa"/>
            <w:vAlign w:val="bottom"/>
          </w:tcPr>
          <w:p>
            <w:pPr>
              <w:spacing w:after="0"/>
              <w:rPr>
                <w:sz w:val="1"/>
                <w:szCs w:val="1"/>
                <w:color w:val="auto"/>
              </w:rPr>
            </w:pPr>
          </w:p>
        </w:tc>
      </w:tr>
      <w:tr>
        <w:trPr>
          <w:trHeight w:val="338"/>
        </w:trPr>
        <w:tc>
          <w:tcPr>
            <w:tcW w:w="2140" w:type="dxa"/>
            <w:vAlign w:val="bottom"/>
          </w:tcPr>
          <w:p>
            <w:pPr>
              <w:spacing w:after="0"/>
              <w:rPr>
                <w:sz w:val="24"/>
                <w:szCs w:val="24"/>
                <w:color w:val="auto"/>
              </w:rPr>
            </w:pPr>
          </w:p>
        </w:tc>
        <w:tc>
          <w:tcPr>
            <w:tcW w:w="8820" w:type="dxa"/>
            <w:vAlign w:val="bottom"/>
          </w:tcPr>
          <w:p>
            <w:pPr>
              <w:ind w:left="280"/>
              <w:spacing w:after="0"/>
              <w:rPr>
                <w:sz w:val="20"/>
                <w:szCs w:val="20"/>
                <w:color w:val="auto"/>
              </w:rPr>
            </w:pPr>
            <w:r>
              <w:rPr>
                <w:rFonts w:ascii="Arial" w:cs="Arial" w:eastAsia="Arial" w:hAnsi="Arial"/>
                <w:sz w:val="18"/>
                <w:szCs w:val="18"/>
                <w:color w:val="auto"/>
              </w:rPr>
              <w:t>(ii)  with respect to JVCo, JVCo Charges;</w:t>
            </w:r>
          </w:p>
        </w:tc>
        <w:tc>
          <w:tcPr>
            <w:tcW w:w="0" w:type="dxa"/>
            <w:vAlign w:val="bottom"/>
          </w:tcPr>
          <w:p>
            <w:pPr>
              <w:spacing w:after="0"/>
              <w:rPr>
                <w:sz w:val="1"/>
                <w:szCs w:val="1"/>
                <w:color w:val="auto"/>
              </w:rPr>
            </w:pPr>
          </w:p>
        </w:tc>
      </w:tr>
      <w:tr>
        <w:trPr>
          <w:trHeight w:val="319"/>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Payment Due</w:t>
            </w:r>
          </w:p>
        </w:tc>
        <w:tc>
          <w:tcPr>
            <w:tcW w:w="8820" w:type="dxa"/>
            <w:vAlign w:val="bottom"/>
          </w:tcPr>
          <w:p>
            <w:pPr>
              <w:ind w:left="280"/>
              <w:spacing w:after="0"/>
              <w:rPr>
                <w:sz w:val="20"/>
                <w:szCs w:val="20"/>
                <w:color w:val="auto"/>
              </w:rPr>
            </w:pPr>
            <w:r>
              <w:rPr>
                <w:rFonts w:ascii="Arial" w:cs="Arial" w:eastAsia="Arial" w:hAnsi="Arial"/>
                <w:sz w:val="18"/>
                <w:szCs w:val="18"/>
                <w:color w:val="auto"/>
              </w:rPr>
              <w:t>has the meaning given to that term in Clause 26.2;</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8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140" w:type="dxa"/>
            <w:vAlign w:val="bottom"/>
          </w:tcPr>
          <w:p>
            <w:pPr>
              <w:spacing w:after="0"/>
              <w:rPr>
                <w:sz w:val="24"/>
                <w:szCs w:val="24"/>
                <w:color w:val="auto"/>
              </w:rPr>
            </w:pPr>
          </w:p>
        </w:tc>
        <w:tc>
          <w:tcPr>
            <w:tcW w:w="8820" w:type="dxa"/>
            <w:vAlign w:val="bottom"/>
          </w:tcPr>
          <w:p>
            <w:pPr>
              <w:ind w:left="32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8" w:name="page319"/>
    <w:bookmarkEnd w:id="318"/>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Forecast</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w w:val="90"/>
              </w:rPr>
              <w:t>means a forecast (split by License Fees and Royalties) of the License Fees and Royalties JVCo or ARM (as applicable)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w w:val="99"/>
              </w:rPr>
              <w:t>anticipates that it will receive for the remainder of the Calendar Quarter in which the forecast is given and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w w:val="91"/>
              </w:rPr>
              <w:t>following four Calendar Quarters (including pursuant to license agreements that JVCo or ARM (as applicable) has not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executed at the date of the forecast);</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Roadmap Committee</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rPr>
              <w:t>has the meaning given to that term in Clause 38.1;</w:t>
            </w:r>
          </w:p>
        </w:tc>
        <w:tc>
          <w:tcPr>
            <w:tcW w:w="0" w:type="dxa"/>
            <w:vAlign w:val="bottom"/>
          </w:tcPr>
          <w:p>
            <w:pPr>
              <w:spacing w:after="0"/>
              <w:rPr>
                <w:sz w:val="1"/>
                <w:szCs w:val="1"/>
                <w:color w:val="auto"/>
              </w:rPr>
            </w:pPr>
          </w:p>
        </w:tc>
      </w:tr>
      <w:tr>
        <w:trPr>
          <w:trHeight w:val="306"/>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Semiconductor</w:t>
            </w:r>
          </w:p>
        </w:tc>
        <w:tc>
          <w:tcPr>
            <w:tcW w:w="8840" w:type="dxa"/>
            <w:vAlign w:val="bottom"/>
          </w:tcPr>
          <w:p>
            <w:pPr>
              <w:ind w:left="260"/>
              <w:spacing w:after="0"/>
              <w:rPr>
                <w:sz w:val="20"/>
                <w:szCs w:val="20"/>
                <w:color w:val="auto"/>
              </w:rPr>
            </w:pPr>
            <w:r>
              <w:rPr>
                <w:rFonts w:ascii="Arial" w:cs="Arial" w:eastAsia="Arial" w:hAnsi="Arial"/>
                <w:sz w:val="18"/>
                <w:szCs w:val="18"/>
                <w:color w:val="auto"/>
              </w:rPr>
              <w:t>means:</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Technology</w:t>
            </w:r>
            <w:r>
              <w:rPr>
                <w:rFonts w:ascii="Arial" w:cs="Arial" w:eastAsia="Arial" w:hAnsi="Arial"/>
                <w:sz w:val="18"/>
                <w:szCs w:val="18"/>
                <w:color w:val="auto"/>
              </w:rPr>
              <w:t>”</w:t>
            </w: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w w:val="91"/>
              </w:rPr>
              <w:t>(i) technology that enables integrated circuit companies to build integrated circuits (including processors, controllers,</w:t>
            </w:r>
          </w:p>
        </w:tc>
        <w:tc>
          <w:tcPr>
            <w:tcW w:w="0" w:type="dxa"/>
            <w:vAlign w:val="bottom"/>
          </w:tcPr>
          <w:p>
            <w:pPr>
              <w:spacing w:after="0"/>
              <w:rPr>
                <w:sz w:val="1"/>
                <w:szCs w:val="1"/>
                <w:color w:val="auto"/>
              </w:rPr>
            </w:pPr>
          </w:p>
        </w:tc>
      </w:tr>
      <w:tr>
        <w:trPr>
          <w:trHeight w:val="107"/>
        </w:trPr>
        <w:tc>
          <w:tcPr>
            <w:tcW w:w="2160" w:type="dxa"/>
            <w:vAlign w:val="bottom"/>
          </w:tcPr>
          <w:p>
            <w:pPr>
              <w:spacing w:after="0"/>
              <w:rPr>
                <w:sz w:val="9"/>
                <w:szCs w:val="9"/>
                <w:color w:val="auto"/>
              </w:rPr>
            </w:pPr>
          </w:p>
        </w:tc>
        <w:tc>
          <w:tcPr>
            <w:tcW w:w="8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93"/>
              </w:rPr>
              <w:t>models, physical IP, associated development tools for software development and debug, training and support);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338"/>
        </w:trPr>
        <w:tc>
          <w:tcPr>
            <w:tcW w:w="2160" w:type="dxa"/>
            <w:vAlign w:val="bottom"/>
          </w:tcPr>
          <w:p>
            <w:pPr>
              <w:spacing w:after="0"/>
              <w:rPr>
                <w:sz w:val="24"/>
                <w:szCs w:val="24"/>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(ii)  other technology that relates to integrated circuit design;</w:t>
            </w: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Representative</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w w:val="89"/>
              </w:rPr>
              <w:t>means, with respect to a Party, an authorised senior representative of such Party appointed and duly authorised by such</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Party to act as a Senior Representative hereunder;</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rPr>
              <w:t>has the meaning given to that term in the Joint Venture Contract;</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rPr>
              <w:t>means any specification that:</w:t>
            </w:r>
          </w:p>
        </w:tc>
        <w:tc>
          <w:tcPr>
            <w:tcW w:w="0" w:type="dxa"/>
            <w:vAlign w:val="bottom"/>
          </w:tcPr>
          <w:p>
            <w:pPr>
              <w:spacing w:after="0"/>
              <w:rPr>
                <w:sz w:val="1"/>
                <w:szCs w:val="1"/>
                <w:color w:val="auto"/>
              </w:rPr>
            </w:pPr>
          </w:p>
        </w:tc>
      </w:tr>
      <w:tr>
        <w:trPr>
          <w:trHeight w:val="338"/>
        </w:trPr>
        <w:tc>
          <w:tcPr>
            <w:tcW w:w="2160" w:type="dxa"/>
            <w:vAlign w:val="bottom"/>
          </w:tcPr>
          <w:p>
            <w:pPr>
              <w:spacing w:after="0"/>
              <w:rPr>
                <w:sz w:val="24"/>
                <w:szCs w:val="24"/>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(i) contains engineering or technical criteria, methods, processes or practices;</w:t>
            </w:r>
          </w:p>
        </w:tc>
        <w:tc>
          <w:tcPr>
            <w:tcW w:w="0" w:type="dxa"/>
            <w:vAlign w:val="bottom"/>
          </w:tcPr>
          <w:p>
            <w:pPr>
              <w:spacing w:after="0"/>
              <w:rPr>
                <w:sz w:val="1"/>
                <w:szCs w:val="1"/>
                <w:color w:val="auto"/>
              </w:rPr>
            </w:pPr>
          </w:p>
        </w:tc>
      </w:tr>
      <w:tr>
        <w:trPr>
          <w:trHeight w:val="338"/>
        </w:trPr>
        <w:tc>
          <w:tcPr>
            <w:tcW w:w="2160" w:type="dxa"/>
            <w:vAlign w:val="bottom"/>
          </w:tcPr>
          <w:p>
            <w:pPr>
              <w:spacing w:after="0"/>
              <w:rPr>
                <w:sz w:val="24"/>
                <w:szCs w:val="24"/>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(ii)  has been approved by a third party formal committee; and</w:t>
            </w:r>
          </w:p>
        </w:tc>
        <w:tc>
          <w:tcPr>
            <w:tcW w:w="0" w:type="dxa"/>
            <w:vAlign w:val="bottom"/>
          </w:tcPr>
          <w:p>
            <w:pPr>
              <w:spacing w:after="0"/>
              <w:rPr>
                <w:sz w:val="1"/>
                <w:szCs w:val="1"/>
                <w:color w:val="auto"/>
              </w:rPr>
            </w:pPr>
          </w:p>
        </w:tc>
      </w:tr>
      <w:tr>
        <w:trPr>
          <w:trHeight w:val="323"/>
        </w:trPr>
        <w:tc>
          <w:tcPr>
            <w:tcW w:w="2160" w:type="dxa"/>
            <w:vAlign w:val="bottom"/>
          </w:tcPr>
          <w:p>
            <w:pPr>
              <w:spacing w:after="0"/>
              <w:rPr>
                <w:sz w:val="24"/>
                <w:szCs w:val="24"/>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(iii)  is made available, whether publicly or to members, by an organisation whose business objective is the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8840" w:type="dxa"/>
            <w:vAlign w:val="bottom"/>
          </w:tcPr>
          <w:p>
            <w:pPr>
              <w:ind w:left="620"/>
              <w:spacing w:after="0"/>
              <w:rPr>
                <w:sz w:val="20"/>
                <w:szCs w:val="20"/>
                <w:color w:val="auto"/>
              </w:rPr>
            </w:pPr>
            <w:r>
              <w:rPr>
                <w:rFonts w:ascii="Arial" w:cs="Arial" w:eastAsia="Arial" w:hAnsi="Arial"/>
                <w:sz w:val="18"/>
                <w:szCs w:val="18"/>
                <w:color w:val="auto"/>
                <w:w w:val="99"/>
              </w:rPr>
              <w:t>development, approval and dissemination of specifications for the purpose of achieving standardisation;</w:t>
            </w:r>
          </w:p>
        </w:tc>
        <w:tc>
          <w:tcPr>
            <w:tcW w:w="0" w:type="dxa"/>
            <w:vAlign w:val="bottom"/>
          </w:tcPr>
          <w:p>
            <w:pPr>
              <w:spacing w:after="0"/>
              <w:rPr>
                <w:sz w:val="1"/>
                <w:szCs w:val="1"/>
                <w:color w:val="auto"/>
              </w:rPr>
            </w:pPr>
          </w:p>
        </w:tc>
      </w:tr>
      <w:tr>
        <w:trPr>
          <w:trHeight w:val="445"/>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Products</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w w:val="98"/>
              </w:rPr>
              <w:t>means licensing arrangements for Original ARM Products, Derivative Products or ARM Derivative Products or</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services that feature in the Standard Product List (including all updates to those products and services);</w:t>
            </w: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Product List</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w w:val="94"/>
              </w:rPr>
              <w:t>means the list of standard products and services (as updated from time to time), which will be provided by ARM to</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JVCo on or around the Effective Date;</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w:t>
            </w:r>
          </w:p>
        </w:tc>
        <w:tc>
          <w:tcPr>
            <w:tcW w:w="8840" w:type="dxa"/>
            <w:vAlign w:val="bottom"/>
          </w:tcPr>
          <w:p>
            <w:pPr>
              <w:ind w:left="260"/>
              <w:spacing w:after="0"/>
              <w:rPr>
                <w:sz w:val="20"/>
                <w:szCs w:val="20"/>
                <w:color w:val="auto"/>
              </w:rPr>
            </w:pPr>
            <w:r>
              <w:rPr>
                <w:rFonts w:ascii="Arial" w:cs="Arial" w:eastAsia="Arial" w:hAnsi="Arial"/>
                <w:sz w:val="18"/>
                <w:szCs w:val="18"/>
                <w:color w:val="auto"/>
              </w:rPr>
              <w:t>has the meaning given to that term in Clause 4.1.2;</w:t>
            </w:r>
          </w:p>
        </w:tc>
        <w:tc>
          <w:tcPr>
            <w:tcW w:w="0" w:type="dxa"/>
            <w:vAlign w:val="bottom"/>
          </w:tcPr>
          <w:p>
            <w:pPr>
              <w:spacing w:after="0"/>
              <w:rPr>
                <w:sz w:val="1"/>
                <w:szCs w:val="1"/>
                <w:color w:val="auto"/>
              </w:rPr>
            </w:pPr>
          </w:p>
        </w:tc>
      </w:tr>
      <w:tr>
        <w:trPr>
          <w:trHeight w:val="365"/>
        </w:trPr>
        <w:tc>
          <w:tcPr>
            <w:tcW w:w="2160" w:type="dxa"/>
            <w:vAlign w:val="bottom"/>
          </w:tcPr>
          <w:p>
            <w:pPr>
              <w:spacing w:after="0"/>
              <w:rPr>
                <w:sz w:val="24"/>
                <w:szCs w:val="24"/>
                <w:color w:val="auto"/>
              </w:rPr>
            </w:pPr>
          </w:p>
        </w:tc>
        <w:tc>
          <w:tcPr>
            <w:tcW w:w="8840" w:type="dxa"/>
            <w:vAlign w:val="bottom"/>
          </w:tcPr>
          <w:p>
            <w:pPr>
              <w:ind w:left="3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9" w:name="page320"/>
    <w:bookmarkEnd w:id="31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with respect to a Person,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-262890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1700" w:space="720"/>
            <w:col w:w="8580"/>
          </w:cols>
          <w:pgMar w:left="440" w:top="378" w:right="459" w:bottom="1440" w:gutter="0" w:footer="0" w:header="0"/>
        </w:sectPr>
      </w:pPr>
    </w:p>
    <w:p>
      <w:pPr>
        <w:ind w:left="2780" w:right="520" w:hanging="359"/>
        <w:spacing w:after="0" w:line="342" w:lineRule="auto"/>
        <w:rPr>
          <w:sz w:val="20"/>
          <w:szCs w:val="20"/>
          <w:color w:val="auto"/>
        </w:rPr>
      </w:pPr>
      <w:r>
        <w:rPr>
          <w:rFonts w:ascii="Arial" w:cs="Arial" w:eastAsia="Arial" w:hAnsi="Arial"/>
          <w:sz w:val="16"/>
          <w:szCs w:val="16"/>
          <w:color w:val="auto"/>
        </w:rPr>
        <w:t>(i) more than 50% of whose outstanding shares or securities (representing the right to vote for the election of directors or other managing authority) are owned or controlled, directly or indirectly, by the first person; or</w:t>
      </w:r>
    </w:p>
    <w:p>
      <w:pPr>
        <w:spacing w:after="0" w:line="29" w:lineRule="exact"/>
        <w:rPr>
          <w:sz w:val="20"/>
          <w:szCs w:val="20"/>
          <w:color w:val="auto"/>
        </w:rPr>
      </w:pPr>
    </w:p>
    <w:p>
      <w:pPr>
        <w:jc w:val="both"/>
        <w:ind w:left="2780" w:right="220" w:hanging="359"/>
        <w:spacing w:after="0" w:line="259" w:lineRule="auto"/>
        <w:rPr>
          <w:sz w:val="20"/>
          <w:szCs w:val="20"/>
          <w:color w:val="auto"/>
        </w:rPr>
      </w:pPr>
      <w:r>
        <w:rPr>
          <w:rFonts w:ascii="Arial" w:cs="Arial" w:eastAsia="Arial" w:hAnsi="Arial"/>
          <w:sz w:val="18"/>
          <w:szCs w:val="18"/>
          <w:color w:val="auto"/>
        </w:rPr>
        <w:t>(ii)  which does not have outstanding shares or securities (as may be the case in a partnership, joint venture, limited liability company, or unincorporated association), but more than 50% of whose ownership interest representing the right generally to make decisions for such other entity is, now or hereafter, owned or controlled, directly or indirectly, by the first person,</w:t>
      </w:r>
    </w:p>
    <w:p>
      <w:pPr>
        <w:spacing w:after="0" w:line="92" w:lineRule="exact"/>
        <w:rPr>
          <w:sz w:val="20"/>
          <w:szCs w:val="20"/>
          <w:color w:val="auto"/>
        </w:rPr>
      </w:pPr>
    </w:p>
    <w:p>
      <w:pPr>
        <w:ind w:left="2420"/>
        <w:spacing w:after="0" w:line="263" w:lineRule="auto"/>
        <w:rPr>
          <w:sz w:val="20"/>
          <w:szCs w:val="20"/>
          <w:color w:val="auto"/>
        </w:rPr>
      </w:pPr>
      <w:r>
        <w:rPr>
          <w:rFonts w:ascii="Arial" w:cs="Arial" w:eastAsia="Arial" w:hAnsi="Arial"/>
          <w:sz w:val="18"/>
          <w:szCs w:val="18"/>
          <w:color w:val="auto"/>
        </w:rPr>
        <w:t>but only for so long as such ownership or control referenced in (i) or (ii) above exists, provided that for the purposes of this Agreement, JVCo and any of its Subsidiaries shall not be a Subsidiary of any Shareholder or members of their Group;</w:t>
      </w:r>
    </w:p>
    <w:p>
      <w:pPr>
        <w:sectPr>
          <w:pgSz w:w="11900" w:h="16838" w:orient="portrait"/>
          <w:cols w:equalWidth="0" w:num="1">
            <w:col w:w="11000"/>
          </w:cols>
          <w:pgMar w:left="440" w:top="378" w:right="4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Suspension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30.1.2(ii);</w:t>
      </w:r>
    </w:p>
    <w:p>
      <w:pPr>
        <w:spacing w:after="0" w:line="136"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Suspension Duration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30.1.2(iii);</w:t>
      </w:r>
    </w:p>
    <w:p>
      <w:pPr>
        <w:spacing w:after="0" w:line="136" w:lineRule="exact"/>
        <w:rPr>
          <w:sz w:val="20"/>
          <w:szCs w:val="20"/>
          <w:color w:val="auto"/>
        </w:rPr>
      </w:pPr>
    </w:p>
    <w:p>
      <w:pPr>
        <w:sectPr>
          <w:pgSz w:w="11900" w:h="16838" w:orient="portrait"/>
          <w:cols w:equalWidth="0" w:num="2">
            <w:col w:w="1760" w:space="66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Suspension Notice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has the meaning give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 to that term in Clause 30.1.1;</w:t>
      </w:r>
    </w:p>
    <w:p>
      <w:pPr>
        <w:spacing w:after="0" w:line="139"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TBD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31.1;</w:t>
      </w:r>
    </w:p>
    <w:p>
      <w:pPr>
        <w:spacing w:after="0" w:line="135"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Technology Import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50.4;</w:t>
      </w:r>
    </w:p>
    <w:p>
      <w:pPr>
        <w:spacing w:after="0" w:line="46"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Certificate</w:t>
      </w:r>
      <w:r>
        <w:rPr>
          <w:rFonts w:ascii="Arial" w:cs="Arial" w:eastAsia="Arial" w:hAnsi="Arial"/>
          <w:sz w:val="17"/>
          <w:szCs w:val="17"/>
          <w:color w:val="auto"/>
        </w:rPr>
        <w:t>”</w:t>
      </w:r>
    </w:p>
    <w:p>
      <w:pPr>
        <w:sectPr>
          <w:pgSz w:w="11900" w:h="16838" w:orient="portrait"/>
          <w:cols w:equalWidth="0" w:num="1">
            <w:col w:w="11000"/>
          </w:cols>
          <w:pgMar w:left="440" w:top="378" w:right="4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27.1;</w:t>
      </w:r>
    </w:p>
    <w:p>
      <w:pPr>
        <w:spacing w:after="0" w:line="135"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 House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entity sub-contracted by JVCo to test integrated circuits for JVCo;</w:t>
      </w:r>
    </w:p>
    <w:p>
      <w:pPr>
        <w:spacing w:after="0" w:line="136"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Restricted IP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5.1;</w:t>
      </w:r>
    </w:p>
    <w:p>
      <w:pPr>
        <w:spacing w:after="0" w:line="136" w:lineRule="exact"/>
        <w:rPr>
          <w:sz w:val="20"/>
          <w:szCs w:val="20"/>
          <w:color w:val="auto"/>
        </w:rPr>
      </w:pPr>
    </w:p>
    <w:p>
      <w:pPr>
        <w:sectPr>
          <w:pgSz w:w="11900" w:h="16838" w:orient="portrait"/>
          <w:cols w:equalWidth="0" w:num="2">
            <w:col w:w="2140" w:space="28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Restricted 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5.14.1;</w:t>
      </w:r>
    </w:p>
    <w:p>
      <w:pPr>
        <w:spacing w:after="0" w:line="46" w:lineRule="exact"/>
        <w:rPr>
          <w:sz w:val="20"/>
          <w:szCs w:val="20"/>
          <w:color w:val="auto"/>
        </w:rPr>
      </w:pPr>
    </w:p>
    <w:p>
      <w:pPr>
        <w:sectPr>
          <w:pgSz w:w="11900" w:h="16838" w:orient="portrait"/>
          <w:cols w:equalWidth="0" w:num="2">
            <w:col w:w="2060" w:space="360"/>
            <w:col w:w="8580"/>
          </w:cols>
          <w:pgMar w:left="440" w:top="378"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Agreements</w:t>
      </w:r>
      <w:r>
        <w:rPr>
          <w:rFonts w:ascii="Arial" w:cs="Arial" w:eastAsia="Arial" w:hAnsi="Arial"/>
          <w:sz w:val="16"/>
          <w:szCs w:val="16"/>
          <w:color w:val="auto"/>
        </w:rPr>
        <w:t>”</w:t>
      </w:r>
    </w:p>
    <w:p>
      <w:pPr>
        <w:sectPr>
          <w:pgSz w:w="11900" w:h="16838" w:orient="portrait"/>
          <w:cols w:equalWidth="0" w:num="1">
            <w:col w:w="11000"/>
          </w:cols>
          <w:pgMar w:left="440" w:top="378" w:right="459" w:bottom="1440" w:gutter="0" w:footer="0" w:header="0"/>
          <w:type w:val="continuous"/>
        </w:sectPr>
      </w:pPr>
    </w:p>
    <w:p>
      <w:pPr>
        <w:spacing w:after="0" w:line="12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“Total Contractual Liability”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means the total amount that a Party is contractually liable to the licensee for, pursuant to the relevant license agreement for that JVCo Licensed Product (taking into account all relevant exclusions and caps on that Party’s liability);</w:t>
      </w:r>
    </w:p>
    <w:p>
      <w:pPr>
        <w:spacing w:after="0" w:line="55" w:lineRule="exact"/>
        <w:rPr>
          <w:sz w:val="20"/>
          <w:szCs w:val="20"/>
          <w:color w:val="auto"/>
        </w:rPr>
      </w:pPr>
    </w:p>
    <w:p>
      <w:pPr>
        <w:sectPr>
          <w:pgSz w:w="11900" w:h="16838" w:orient="portrait"/>
          <w:cols w:equalWidth="0" w:num="2">
            <w:col w:w="1700" w:space="720"/>
            <w:col w:w="8580"/>
          </w:cols>
          <w:pgMar w:left="440" w:top="378"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00"/>
          </w:cols>
          <w:pgMar w:left="440" w:top="378" w:right="459" w:bottom="1440" w:gutter="0" w:footer="0" w:header="0"/>
          <w:type w:val="continuous"/>
        </w:sectPr>
      </w:pPr>
    </w:p>
    <w:bookmarkStart w:id="320" w:name="page321"/>
    <w:bookmarkEnd w:id="320"/>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 Marks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means (whether registered or not) trade marks, domain names, service marks, trade names, certification marks, service names, industrial designs, brand names, brand marks, trade dress rights, identifying symbols, logos, emblems, and signs or insignia and rights or forms of protection of a similar nature or having equivalent effect to any of these which may subsist anywhere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-652145</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700" w:space="720"/>
            <w:col w:w="8540"/>
          </w:cols>
          <w:pgMar w:left="440" w:top="270" w:right="49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Secret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information that:</w:t>
      </w:r>
    </w:p>
    <w:p>
      <w:pPr>
        <w:spacing w:after="0" w:line="154" w:lineRule="exact"/>
        <w:rPr>
          <w:sz w:val="20"/>
          <w:szCs w:val="20"/>
          <w:color w:val="auto"/>
        </w:rPr>
      </w:pPr>
    </w:p>
    <w:p>
      <w:pPr>
        <w:sectPr>
          <w:pgSz w:w="11900" w:h="16838" w:orient="portrait"/>
          <w:cols w:equalWidth="0" w:num="2">
            <w:col w:w="1700" w:space="720"/>
            <w:col w:w="8540"/>
          </w:cols>
          <w:pgMar w:left="440" w:top="270" w:right="499" w:bottom="1440" w:gutter="0" w:footer="0" w:header="0"/>
          <w:type w:val="continuous"/>
        </w:sectPr>
      </w:pPr>
    </w:p>
    <w:p>
      <w:pPr>
        <w:ind w:left="2420"/>
        <w:spacing w:after="0"/>
        <w:rPr>
          <w:sz w:val="20"/>
          <w:szCs w:val="20"/>
          <w:color w:val="auto"/>
        </w:rPr>
      </w:pPr>
      <w:r>
        <w:rPr>
          <w:rFonts w:ascii="Arial" w:cs="Arial" w:eastAsia="Arial" w:hAnsi="Arial"/>
          <w:sz w:val="18"/>
          <w:szCs w:val="18"/>
          <w:color w:val="auto"/>
        </w:rPr>
        <w:t>(i) is secret;</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(ii)  has commercial value because it is secret; and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(iii)  has been subject to reasonable steps under the circumstances to keep it secret;</w:t>
      </w:r>
    </w:p>
    <w:p>
      <w:pPr>
        <w:sectPr>
          <w:pgSz w:w="11900" w:h="16838" w:orient="portrait"/>
          <w:cols w:equalWidth="0" w:num="1">
            <w:col w:w="10960"/>
          </w:cols>
          <w:pgMar w:left="440" w:top="270" w:right="49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the Joint Venture Contract;</w:t>
      </w:r>
    </w:p>
    <w:p>
      <w:pPr>
        <w:spacing w:after="0" w:line="136" w:lineRule="exact"/>
        <w:rPr>
          <w:sz w:val="20"/>
          <w:szCs w:val="20"/>
          <w:color w:val="auto"/>
        </w:rPr>
      </w:pPr>
    </w:p>
    <w:p>
      <w:pPr>
        <w:sectPr>
          <w:pgSz w:w="11900" w:h="16838" w:orient="portrait"/>
          <w:cols w:equalWidth="0" w:num="2">
            <w:col w:w="1980" w:space="440"/>
            <w:col w:w="854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Transferring Contract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the Investment Agreement;</w:t>
      </w:r>
    </w:p>
    <w:p>
      <w:pPr>
        <w:spacing w:after="0" w:line="136" w:lineRule="exact"/>
        <w:rPr>
          <w:sz w:val="20"/>
          <w:szCs w:val="20"/>
          <w:color w:val="auto"/>
        </w:rPr>
      </w:pPr>
    </w:p>
    <w:p>
      <w:pPr>
        <w:sectPr>
          <w:pgSz w:w="11900" w:h="16838" w:orient="portrait"/>
          <w:cols w:equalWidth="0" w:num="2">
            <w:col w:w="1880" w:space="540"/>
            <w:col w:w="854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Transferring Contract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33.8;</w:t>
      </w:r>
    </w:p>
    <w:p>
      <w:pPr>
        <w:spacing w:after="0" w:line="46" w:lineRule="exact"/>
        <w:rPr>
          <w:sz w:val="20"/>
          <w:szCs w:val="20"/>
          <w:color w:val="auto"/>
        </w:rPr>
      </w:pPr>
    </w:p>
    <w:p>
      <w:pPr>
        <w:sectPr>
          <w:pgSz w:w="11900" w:h="16838" w:orient="portrait"/>
          <w:cols w:equalWidth="0" w:num="2">
            <w:col w:w="1800" w:space="620"/>
            <w:col w:w="854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Commission Payment</w:t>
      </w:r>
      <w:r>
        <w:rPr>
          <w:rFonts w:ascii="Arial" w:cs="Arial" w:eastAsia="Arial" w:hAnsi="Arial"/>
          <w:sz w:val="16"/>
          <w:szCs w:val="16"/>
          <w:color w:val="auto"/>
        </w:rPr>
        <w:t>”</w:t>
      </w:r>
    </w:p>
    <w:p>
      <w:pPr>
        <w:sectPr>
          <w:pgSz w:w="11900" w:h="16838" w:orient="portrait"/>
          <w:cols w:equalWidth="0" w:num="1">
            <w:col w:w="10960"/>
          </w:cols>
          <w:pgMar w:left="440" w:top="270" w:right="49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Ultimate Parent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the Joint Venture Contract;</w:t>
      </w:r>
    </w:p>
    <w:p>
      <w:pPr>
        <w:spacing w:after="0" w:line="136" w:lineRule="exact"/>
        <w:rPr>
          <w:sz w:val="20"/>
          <w:szCs w:val="20"/>
          <w:color w:val="auto"/>
        </w:rPr>
      </w:pPr>
    </w:p>
    <w:p>
      <w:pPr>
        <w:sectPr>
          <w:pgSz w:w="11900" w:h="16838" w:orient="portrait"/>
          <w:cols w:equalWidth="0" w:num="2">
            <w:col w:w="1700" w:space="720"/>
            <w:col w:w="854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Underlying ARM Licensee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18.2;</w:t>
      </w:r>
    </w:p>
    <w:p>
      <w:pPr>
        <w:spacing w:after="0" w:line="136" w:lineRule="exact"/>
        <w:rPr>
          <w:sz w:val="20"/>
          <w:szCs w:val="20"/>
          <w:color w:val="auto"/>
        </w:rPr>
      </w:pPr>
    </w:p>
    <w:p>
      <w:pPr>
        <w:sectPr>
          <w:pgSz w:w="11900" w:h="16838" w:orient="portrait"/>
          <w:cols w:equalWidth="0" w:num="2">
            <w:col w:w="2200" w:space="220"/>
            <w:col w:w="854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Underlying ARM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18.2;</w:t>
      </w:r>
    </w:p>
    <w:p>
      <w:pPr>
        <w:spacing w:after="0" w:line="46" w:lineRule="exact"/>
        <w:rPr>
          <w:sz w:val="20"/>
          <w:szCs w:val="20"/>
          <w:color w:val="auto"/>
        </w:rPr>
      </w:pPr>
    </w:p>
    <w:p>
      <w:pPr>
        <w:sectPr>
          <w:pgSz w:w="11900" w:h="16838" w:orient="portrait"/>
          <w:cols w:equalWidth="0" w:num="2">
            <w:col w:w="2120" w:space="300"/>
            <w:col w:w="854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Suit</w:t>
      </w:r>
      <w:r>
        <w:rPr>
          <w:rFonts w:ascii="Arial" w:cs="Arial" w:eastAsia="Arial" w:hAnsi="Arial"/>
          <w:sz w:val="17"/>
          <w:szCs w:val="17"/>
          <w:color w:val="auto"/>
        </w:rPr>
        <w:t>”</w:t>
      </w:r>
    </w:p>
    <w:p>
      <w:pPr>
        <w:sectPr>
          <w:pgSz w:w="11900" w:h="16838" w:orient="portrait"/>
          <w:cols w:equalWidth="0" w:num="1">
            <w:col w:w="10960"/>
          </w:cols>
          <w:pgMar w:left="440" w:top="270" w:right="499" w:bottom="1440" w:gutter="0" w:footer="0" w:header="0"/>
          <w:type w:val="continuous"/>
        </w:sectPr>
      </w:pPr>
    </w:p>
    <w:p>
      <w:pPr>
        <w:spacing w:after="0" w:line="11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JVCo</w:t>
      </w:r>
      <w:r>
        <w:rPr>
          <w:rFonts w:ascii="Arial" w:cs="Arial" w:eastAsia="Arial" w:hAnsi="Arial"/>
          <w:sz w:val="18"/>
          <w:szCs w:val="18"/>
          <w:color w:val="auto"/>
        </w:rPr>
        <w:t xml:space="preserve">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that term in Clause 16.2;</w:t>
      </w:r>
    </w:p>
    <w:p>
      <w:pPr>
        <w:spacing w:after="0" w:line="352" w:lineRule="exact"/>
        <w:rPr>
          <w:sz w:val="20"/>
          <w:szCs w:val="20"/>
          <w:color w:val="auto"/>
        </w:rPr>
      </w:pPr>
    </w:p>
    <w:p>
      <w:pPr>
        <w:sectPr>
          <w:pgSz w:w="11900" w:h="16838" w:orient="portrait"/>
          <w:cols w:equalWidth="0" w:num="2">
            <w:col w:w="1700" w:space="720"/>
            <w:col w:w="8540"/>
          </w:cols>
          <w:pgMar w:left="440" w:top="270" w:right="499" w:bottom="1440" w:gutter="0" w:footer="0" w:header="0"/>
          <w:type w:val="continuous"/>
        </w:sect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JVCo Licensee</w:t>
      </w:r>
      <w:r>
        <w:rPr>
          <w:rFonts w:ascii="Arial" w:cs="Arial" w:eastAsia="Arial" w:hAnsi="Arial"/>
          <w:sz w:val="18"/>
          <w:szCs w:val="18"/>
          <w:color w:val="auto"/>
        </w:rPr>
        <w:t xml:space="preserve"> </w:t>
      </w:r>
      <w:r>
        <w:rPr>
          <w:rFonts w:ascii="Arial" w:cs="Arial" w:eastAsia="Arial" w:hAnsi="Arial"/>
          <w:sz w:val="18"/>
          <w:szCs w:val="18"/>
          <w:b w:val="1"/>
          <w:bCs w:val="1"/>
          <w:color w:val="auto"/>
        </w:rPr>
        <w:t>Suit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to that term in Clause 16.2;</w:t>
      </w:r>
    </w:p>
    <w:p>
      <w:pPr>
        <w:spacing w:after="0" w:line="352" w:lineRule="exact"/>
        <w:rPr>
          <w:sz w:val="20"/>
          <w:szCs w:val="20"/>
          <w:color w:val="auto"/>
        </w:rPr>
      </w:pPr>
    </w:p>
    <w:p>
      <w:pPr>
        <w:sectPr>
          <w:pgSz w:w="11900" w:h="16838" w:orient="portrait"/>
          <w:cols w:equalWidth="0" w:num="2">
            <w:col w:w="2140" w:space="280"/>
            <w:col w:w="854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Use Guidelines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trade mark use guidelines provided by ARM to JVCo;</w:t>
      </w:r>
    </w:p>
    <w:p>
      <w:pPr>
        <w:spacing w:after="0" w:line="181" w:lineRule="exact"/>
        <w:rPr>
          <w:sz w:val="20"/>
          <w:szCs w:val="20"/>
          <w:color w:val="auto"/>
        </w:rPr>
      </w:pPr>
    </w:p>
    <w:p>
      <w:pPr>
        <w:sectPr>
          <w:pgSz w:w="11900" w:h="16838" w:orient="portrait"/>
          <w:cols w:equalWidth="0" w:num="2">
            <w:col w:w="1700" w:space="720"/>
            <w:col w:w="8540"/>
          </w:cols>
          <w:pgMar w:left="440" w:top="270"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960"/>
          </w:cols>
          <w:pgMar w:left="440" w:top="270" w:right="499" w:bottom="1440" w:gutter="0" w:footer="0" w:header="0"/>
          <w:type w:val="continuous"/>
        </w:sectPr>
      </w:pPr>
    </w:p>
    <w:bookmarkStart w:id="321" w:name="page322"/>
    <w:bookmarkEnd w:id="32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-194310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1700" w:space="720"/>
            <w:col w:w="8560"/>
          </w:cols>
          <w:pgMar w:left="440" w:top="270" w:right="479" w:bottom="1440" w:gutter="0" w:footer="0" w:header="0"/>
        </w:sectPr>
      </w:pPr>
    </w:p>
    <w:p>
      <w:pPr>
        <w:ind w:left="2780" w:right="560" w:hanging="359"/>
        <w:spacing w:after="0" w:line="308" w:lineRule="auto"/>
        <w:rPr>
          <w:sz w:val="20"/>
          <w:szCs w:val="20"/>
          <w:color w:val="auto"/>
        </w:rPr>
      </w:pPr>
      <w:r>
        <w:rPr>
          <w:rFonts w:ascii="Arial" w:cs="Arial" w:eastAsia="Arial" w:hAnsi="Arial"/>
          <w:sz w:val="17"/>
          <w:szCs w:val="17"/>
          <w:color w:val="auto"/>
        </w:rPr>
        <w:t>(i) within the European Union, any tax imposed by any Member State in conformity with the Directive of the Council of the European Union on the common system of value added tax (2006/112/EC); and</w:t>
      </w:r>
    </w:p>
    <w:p>
      <w:pPr>
        <w:spacing w:after="0" w:line="52" w:lineRule="exact"/>
        <w:rPr>
          <w:sz w:val="20"/>
          <w:szCs w:val="20"/>
          <w:color w:val="auto"/>
        </w:rPr>
      </w:pPr>
    </w:p>
    <w:p>
      <w:pPr>
        <w:ind w:left="2780" w:right="240" w:hanging="359"/>
        <w:spacing w:after="0" w:line="277" w:lineRule="auto"/>
        <w:rPr>
          <w:sz w:val="20"/>
          <w:szCs w:val="20"/>
          <w:color w:val="auto"/>
        </w:rPr>
      </w:pPr>
      <w:r>
        <w:rPr>
          <w:rFonts w:ascii="Arial" w:cs="Arial" w:eastAsia="Arial" w:hAnsi="Arial"/>
          <w:sz w:val="18"/>
          <w:szCs w:val="18"/>
          <w:color w:val="auto"/>
        </w:rPr>
        <w:t>(ii)  outside the European Union, any tax corresponding to, or substantially similar to, the common system of value added tax referred to in paragraph (i) of this definition;</w:t>
      </w:r>
    </w:p>
    <w:p>
      <w:pPr>
        <w:sectPr>
          <w:pgSz w:w="11900" w:h="16838" w:orient="portrait"/>
          <w:cols w:equalWidth="0" w:num="1">
            <w:col w:w="10980"/>
          </w:cols>
          <w:pgMar w:left="440" w:top="270" w:right="47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Verification Assessor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means, from time to time, an individual with engineering capability appointed by ARM and reasonably acceptable to JVCo (or, where permitted pursuant to Clause 6.6, appointed by JVCo), to oversee the verification of Derivative Products and Independent Products in accordance with Clause 6.5;</w:t>
      </w:r>
    </w:p>
    <w:p>
      <w:pPr>
        <w:spacing w:after="0" w:line="72" w:lineRule="exact"/>
        <w:rPr>
          <w:sz w:val="20"/>
          <w:szCs w:val="20"/>
          <w:color w:val="auto"/>
        </w:rPr>
      </w:pPr>
    </w:p>
    <w:p>
      <w:pPr>
        <w:sectPr>
          <w:pgSz w:w="11900" w:h="16838" w:orient="portrait"/>
          <w:cols w:equalWidth="0" w:num="2">
            <w:col w:w="1760" w:space="660"/>
            <w:col w:w="8560"/>
          </w:cols>
          <w:pgMar w:left="440" w:top="270" w:right="479" w:bottom="1440" w:gutter="0" w:footer="0" w:header="0"/>
          <w:type w:val="continuous"/>
        </w:sectPr>
      </w:pPr>
    </w:p>
    <w:p>
      <w:pPr>
        <w:ind w:right="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Verification Strategy</w:t>
      </w:r>
      <w:r>
        <w:rPr>
          <w:rFonts w:ascii="Arial" w:cs="Arial" w:eastAsia="Arial" w:hAnsi="Arial"/>
          <w:sz w:val="17"/>
          <w:szCs w:val="17"/>
          <w:color w:val="auto"/>
        </w:rPr>
        <w:t xml:space="preserve"> </w:t>
      </w:r>
      <w:r>
        <w:rPr>
          <w:rFonts w:ascii="Arial" w:cs="Arial" w:eastAsia="Arial" w:hAnsi="Arial"/>
          <w:sz w:val="17"/>
          <w:szCs w:val="17"/>
          <w:b w:val="1"/>
          <w:bCs w:val="1"/>
          <w:color w:val="auto"/>
        </w:rPr>
        <w:t>Document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60"/>
        <w:spacing w:after="0" w:line="308" w:lineRule="auto"/>
        <w:rPr>
          <w:sz w:val="20"/>
          <w:szCs w:val="20"/>
          <w:color w:val="auto"/>
        </w:rPr>
      </w:pPr>
      <w:r>
        <w:rPr>
          <w:rFonts w:ascii="Arial" w:cs="Arial" w:eastAsia="Arial" w:hAnsi="Arial"/>
          <w:sz w:val="17"/>
          <w:szCs w:val="17"/>
          <w:color w:val="auto"/>
        </w:rPr>
        <w:t>means, for each Derivative Product and Independent Product, a document developed in accordance with Clause 6.5 that sets out a detailed methodology for the verification and validation of that product; and</w:t>
      </w:r>
    </w:p>
    <w:p>
      <w:pPr>
        <w:spacing w:after="0" w:line="34"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Verification Support</w:t>
      </w:r>
      <w:r>
        <w:rPr>
          <w:rFonts w:ascii="Arial" w:cs="Arial" w:eastAsia="Arial" w:hAnsi="Arial"/>
          <w:sz w:val="18"/>
          <w:szCs w:val="18"/>
          <w:color w:val="auto"/>
        </w:rPr>
        <w:t xml:space="preserve"> </w:t>
      </w:r>
      <w:r>
        <w:rPr>
          <w:rFonts w:ascii="Arial" w:cs="Arial" w:eastAsia="Arial" w:hAnsi="Arial"/>
          <w:sz w:val="18"/>
          <w:szCs w:val="18"/>
          <w:b w:val="1"/>
          <w:bCs w:val="1"/>
          <w:color w:val="auto"/>
        </w:rPr>
        <w:t>Materials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means the set of example verification documents provided by ARM to JVCo and updated by ARM from time to time, including:</w:t>
      </w:r>
    </w:p>
    <w:p>
      <w:pPr>
        <w:spacing w:after="0" w:line="75" w:lineRule="exact"/>
        <w:rPr>
          <w:sz w:val="20"/>
          <w:szCs w:val="20"/>
          <w:color w:val="auto"/>
        </w:rPr>
      </w:pPr>
    </w:p>
    <w:p>
      <w:pPr>
        <w:sectPr>
          <w:pgSz w:w="11900" w:h="16838" w:orient="portrait"/>
          <w:cols w:equalWidth="0" w:num="2">
            <w:col w:w="1700" w:space="720"/>
            <w:col w:w="8560"/>
          </w:cols>
          <w:pgMar w:left="440" w:top="270" w:right="479" w:bottom="1440" w:gutter="0" w:footer="0" w:header="0"/>
          <w:type w:val="continuous"/>
        </w:sectPr>
      </w:pPr>
    </w:p>
    <w:p>
      <w:pPr>
        <w:ind w:left="2420"/>
        <w:spacing w:after="0"/>
        <w:rPr>
          <w:sz w:val="20"/>
          <w:szCs w:val="20"/>
          <w:color w:val="auto"/>
        </w:rPr>
      </w:pPr>
      <w:r>
        <w:rPr>
          <w:rFonts w:ascii="Arial" w:cs="Arial" w:eastAsia="Arial" w:hAnsi="Arial"/>
          <w:sz w:val="18"/>
          <w:szCs w:val="18"/>
          <w:color w:val="auto"/>
        </w:rPr>
        <w:t>(i) an IP verification standard;</w:t>
      </w:r>
    </w:p>
    <w:p>
      <w:pPr>
        <w:spacing w:after="0" w:line="1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(ii)  a template verification strategy document; and</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(iii)  template engineering assessment milestones.</w:t>
      </w:r>
    </w:p>
    <w:p>
      <w:pPr>
        <w:sectPr>
          <w:pgSz w:w="11900" w:h="16838" w:orient="portrait"/>
          <w:cols w:equalWidth="0" w:num="1">
            <w:col w:w="10980"/>
          </w:cols>
          <w:pgMar w:left="440" w:top="270" w:right="479" w:bottom="1440" w:gutter="0" w:footer="0" w:header="0"/>
          <w:type w:val="continuous"/>
        </w:sectPr>
      </w:pPr>
    </w:p>
    <w:p>
      <w:pPr>
        <w:spacing w:after="0" w:line="167"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this Agreement the words and expressions set out in the table at the beginning of Schedule 2 (</w:t>
      </w:r>
      <w:r>
        <w:rPr>
          <w:rFonts w:ascii="Arial" w:cs="Arial" w:eastAsia="Arial" w:hAnsi="Arial"/>
          <w:sz w:val="18"/>
          <w:szCs w:val="18"/>
          <w:i w:val="1"/>
          <w:iCs w:val="1"/>
          <w:color w:val="auto"/>
        </w:rPr>
        <w:t>Pricing Calculation</w:t>
      </w:r>
      <w:r>
        <w:rPr>
          <w:rFonts w:ascii="Arial" w:cs="Arial" w:eastAsia="Arial" w:hAnsi="Arial"/>
          <w:sz w:val="18"/>
          <w:szCs w:val="18"/>
          <w:color w:val="auto"/>
        </w:rPr>
        <w:t>) shall have the meanings set out in that table.</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In this Agreement, unless otherwise specified: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color w:val="auto"/>
        </w:rPr>
        <w:t>references to Clauses and Schedules are to clauses of and schedules to this Agreement;</w:t>
      </w:r>
    </w:p>
    <w:p>
      <w:pPr>
        <w:spacing w:after="0" w:line="131" w:lineRule="exact"/>
        <w:rPr>
          <w:sz w:val="20"/>
          <w:szCs w:val="20"/>
          <w:color w:val="auto"/>
        </w:rPr>
      </w:pPr>
    </w:p>
    <w:p>
      <w:pPr>
        <w:ind w:left="1180" w:right="160" w:hanging="647"/>
        <w:spacing w:after="0" w:line="277" w:lineRule="auto"/>
        <w:tabs>
          <w:tab w:leader="none" w:pos="11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a reference to any statute or statutory provision shall be construed as a reference to the same as it may have been, or may from time to time be, amended, modified or re-enacted;</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use of any gender includes the other gender;</w:t>
      </w:r>
    </w:p>
    <w:p>
      <w:pPr>
        <w:spacing w:after="0" w:line="131"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references to a “company” shall be construed so as to include any company, corporation or other body corporate, wherever and however incorporated or established;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type w:val="continuous"/>
        </w:sectPr>
      </w:pPr>
    </w:p>
    <w:bookmarkStart w:id="322" w:name="page323"/>
    <w:bookmarkEnd w:id="322"/>
    <w:p>
      <w:pPr>
        <w:ind w:left="1184" w:right="40" w:hanging="647"/>
        <w:spacing w:after="0" w:line="263"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w:t>
      </w:r>
      <w:r>
        <w:rPr>
          <w:sz w:val="20"/>
          <w:szCs w:val="20"/>
          <w:color w:val="auto"/>
        </w:rPr>
        <w:tab/>
      </w:r>
      <w:r>
        <w:rPr>
          <w:rFonts w:ascii="Arial" w:cs="Arial" w:eastAsia="Arial" w:hAnsi="Arial"/>
          <w:sz w:val="18"/>
          <w:szCs w:val="18"/>
          <w:color w:val="auto"/>
        </w:rPr>
        <w:t>references to a “person” shall be construed so as to include any individual, firm, company or other body corporate, government, state or agency of a state, local or municipal authority or Governmental Entity or any joint venture, association or partnership (whether or not having separate legal personality);</w:t>
      </w:r>
    </w:p>
    <w:p>
      <w:pPr>
        <w:spacing w:after="0" w:line="89" w:lineRule="exact"/>
        <w:rPr>
          <w:sz w:val="20"/>
          <w:szCs w:val="20"/>
          <w:color w:val="auto"/>
        </w:rPr>
      </w:pPr>
    </w:p>
    <w:p>
      <w:pPr>
        <w:ind w:left="1184" w:right="140" w:hanging="647"/>
        <w:spacing w:after="0" w:line="277" w:lineRule="auto"/>
        <w:tabs>
          <w:tab w:leader="none" w:pos="1164"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any reference to a “day” (including within the expression “Business Day”) shall mean a period of twenty four (24) hours running from midnight to midnight;</w:t>
      </w:r>
    </w:p>
    <w:p>
      <w:pPr>
        <w:spacing w:after="0" w:line="76" w:lineRule="exact"/>
        <w:rPr>
          <w:sz w:val="20"/>
          <w:szCs w:val="20"/>
          <w:color w:val="auto"/>
        </w:rPr>
      </w:pPr>
    </w:p>
    <w:p>
      <w:pPr>
        <w:ind w:left="1184" w:right="280" w:hanging="647"/>
        <w:spacing w:after="0" w:line="277" w:lineRule="auto"/>
        <w:tabs>
          <w:tab w:leader="none" w:pos="1164"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a reference to any other document referred to in this Agreement is a reference to that other document as amended, varied, novated or supplemented (other than in breach of the provisions of this Agreement) at any time;</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headings to Clauses and Schedules are for convenience only and do not affect the interpretation of this Agreement;</w:t>
      </w:r>
    </w:p>
    <w:p>
      <w:pPr>
        <w:spacing w:after="0" w:line="131" w:lineRule="exact"/>
        <w:rPr>
          <w:sz w:val="20"/>
          <w:szCs w:val="20"/>
          <w:color w:val="auto"/>
        </w:rPr>
      </w:pPr>
    </w:p>
    <w:p>
      <w:pPr>
        <w:ind w:left="1184" w:right="100" w:hanging="647"/>
        <w:spacing w:after="0" w:line="263" w:lineRule="auto"/>
        <w:tabs>
          <w:tab w:leader="none" w:pos="1164"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a reference to any English legal term for any action, remedy, method of judicial proceeding, legal document, legal status, court, official or any legal concept or thing shall in respect of any jurisdiction other than England be treated as a reference to any analogous term in that jurisdiction;</w:t>
      </w:r>
    </w:p>
    <w:p>
      <w:pPr>
        <w:spacing w:after="0" w:line="89"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1.3.10</w:t>
        <w:tab/>
        <w:t>the words “including”, “include”, “in particular” and words of similar effect shall not be deemed to limit the general effect of the words that precede them;</w:t>
      </w:r>
    </w:p>
    <w:p>
      <w:pPr>
        <w:spacing w:after="0" w:line="76" w:lineRule="exact"/>
        <w:rPr>
          <w:sz w:val="20"/>
          <w:szCs w:val="20"/>
          <w:color w:val="auto"/>
        </w:rPr>
      </w:pPr>
    </w:p>
    <w:p>
      <w:pPr>
        <w:ind w:left="1184" w:right="40" w:hanging="647"/>
        <w:spacing w:after="0" w:line="277" w:lineRule="auto"/>
        <w:tabs>
          <w:tab w:leader="none" w:pos="1164" w:val="left"/>
        </w:tabs>
        <w:rPr>
          <w:sz w:val="20"/>
          <w:szCs w:val="20"/>
          <w:color w:val="auto"/>
        </w:rPr>
      </w:pPr>
      <w:r>
        <w:rPr>
          <w:rFonts w:ascii="Arial" w:cs="Arial" w:eastAsia="Arial" w:hAnsi="Arial"/>
          <w:sz w:val="18"/>
          <w:szCs w:val="18"/>
          <w:color w:val="auto"/>
        </w:rPr>
        <w:t>1.3.11</w:t>
        <w:tab/>
        <w:t>general words shall not be given a restrictive meaning by reason of the fact that they are followed by particular examples intended to be embraced by the general words;</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the singular shall include the plural and vice versa;</w:t>
      </w:r>
    </w:p>
    <w:p>
      <w:pPr>
        <w:spacing w:after="0" w:line="131" w:lineRule="exact"/>
        <w:rPr>
          <w:sz w:val="20"/>
          <w:szCs w:val="20"/>
          <w:color w:val="auto"/>
        </w:rPr>
      </w:pPr>
    </w:p>
    <w:p>
      <w:pPr>
        <w:ind w:left="1184" w:right="780" w:hanging="647"/>
        <w:spacing w:after="0" w:line="277" w:lineRule="auto"/>
        <w:tabs>
          <w:tab w:leader="none" w:pos="1164" w:val="left"/>
        </w:tabs>
        <w:rPr>
          <w:sz w:val="20"/>
          <w:szCs w:val="20"/>
          <w:color w:val="auto"/>
        </w:rPr>
      </w:pPr>
      <w:r>
        <w:rPr>
          <w:rFonts w:ascii="Arial" w:cs="Arial" w:eastAsia="Arial" w:hAnsi="Arial"/>
          <w:sz w:val="18"/>
          <w:szCs w:val="18"/>
          <w:color w:val="auto"/>
        </w:rPr>
        <w:t>1.3.13</w:t>
        <w:tab/>
        <w:t>references to books, records or other information shall mean books, records or other information in any form including paper, electronically stored data, magnetic media, film and microfilm; and</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1.3.14</w:t>
        <w:tab/>
        <w:t>the Schedules form part of this Agreement and shall have the same force and effect as if expressly set out in the body of this Agreement, and any reference to this Agreement shall include the Schedules.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PART A: LICENSES OF ARM IP</w:t>
      </w:r>
    </w:p>
    <w:p>
      <w:pPr>
        <w:spacing w:after="0" w:line="131" w:lineRule="exact"/>
        <w:rPr>
          <w:sz w:val="20"/>
          <w:szCs w:val="20"/>
          <w:color w:val="auto"/>
        </w:rPr>
      </w:pPr>
    </w:p>
    <w:p>
      <w:pPr>
        <w:ind w:left="544" w:hanging="544"/>
        <w:spacing w:after="0"/>
        <w:tabs>
          <w:tab w:leader="none" w:pos="54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 OF CERTAIN LICENSE GRANTS</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the other terms and conditions of this Agreement, the licenses granted pursuant to the following sub-clauses shall be deemed to be exclusive:</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Clauses 3.1.1(i), (ii), and (vii);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Clauses 3.2.1(i), (ii) and (v),</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23" w:name="page324"/>
    <w:bookmarkEnd w:id="323"/>
    <w:p>
      <w:pPr>
        <w:ind w:left="544"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to the extent that such clauses grant rights to JVCo to enter into Commercial licensing arrangements with PRC Licensees with respect to the JVCo Licensed Products in accordance with the relevant Applicable Model License during the Term of this Agreement. With respect to the exclusive rights granted in Clauses 3.1.1(i), (ii), and (vii) and Clauses 3.2.1(i), (ii) and (v) and save as provided under Clause 7.1, neither ARM nor any member of the ARM Group may enter into any licensing arrangement with any PRC Licensee.</w:t>
      </w:r>
    </w:p>
    <w:p>
      <w:pPr>
        <w:spacing w:after="0" w:line="63" w:lineRule="exact"/>
        <w:rPr>
          <w:sz w:val="20"/>
          <w:szCs w:val="20"/>
          <w:color w:val="auto"/>
        </w:rPr>
      </w:pPr>
    </w:p>
    <w:p>
      <w:pPr>
        <w:jc w:val="center"/>
        <w:ind w:right="56"/>
        <w:spacing w:after="0"/>
        <w:tabs>
          <w:tab w:leader="none" w:pos="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From the date of this Agreement, neither ARM nor any member of the ARM Group shall enter into any arrangement with a Non-PRC Licensee</w:t>
      </w:r>
    </w:p>
    <w:p>
      <w:pPr>
        <w:spacing w:after="0" w:line="23" w:lineRule="exact"/>
        <w:rPr>
          <w:sz w:val="20"/>
          <w:szCs w:val="20"/>
          <w:color w:val="auto"/>
        </w:rPr>
      </w:pPr>
    </w:p>
    <w:p>
      <w:pPr>
        <w:ind w:left="544" w:right="200"/>
        <w:spacing w:after="0" w:line="255" w:lineRule="auto"/>
        <w:rPr>
          <w:sz w:val="20"/>
          <w:szCs w:val="20"/>
          <w:color w:val="auto"/>
        </w:rPr>
      </w:pPr>
      <w:r>
        <w:rPr>
          <w:rFonts w:ascii="Arial" w:cs="Arial" w:eastAsia="Arial" w:hAnsi="Arial"/>
          <w:sz w:val="18"/>
          <w:szCs w:val="18"/>
          <w:color w:val="auto"/>
        </w:rPr>
        <w:t>which permits that Non-PRC Licensee to sub-license to a PRC Licensee any JVCo Licensed Product (with respect to the scope of rights referenced in Clause 2.1), save with respect to sub-licensing to third party service providers that are providing services to, or on behalf of, the Non-PRC Licensee.</w:t>
      </w:r>
    </w:p>
    <w:p>
      <w:pPr>
        <w:spacing w:after="0" w:line="95"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In the event that the exclusivity arrangement described in Clause 2.1 is limited by any Applicable Law, the license grant shall not terminate, but shall remain exclusive to the extent that is permitted by such Applicable Law and shall become non-exclusive to the extent that is necessary to conform with such Applicable Law.</w:t>
      </w:r>
    </w:p>
    <w:p>
      <w:pPr>
        <w:spacing w:after="0" w:line="85" w:lineRule="exact"/>
        <w:rPr>
          <w:sz w:val="20"/>
          <w:szCs w:val="20"/>
          <w:color w:val="auto"/>
        </w:rPr>
      </w:pPr>
    </w:p>
    <w:p>
      <w:pPr>
        <w:ind w:left="544" w:hanging="544"/>
        <w:spacing w:after="0"/>
        <w:tabs>
          <w:tab w:leader="none" w:pos="544"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LICENSES TO JVCO</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License of Architecture IP</w:t>
      </w:r>
    </w:p>
    <w:p>
      <w:pPr>
        <w:spacing w:after="0" w:line="131" w:lineRule="exact"/>
        <w:rPr>
          <w:sz w:val="20"/>
          <w:szCs w:val="20"/>
          <w:color w:val="auto"/>
        </w:rPr>
      </w:pPr>
    </w:p>
    <w:p>
      <w:pPr>
        <w:jc w:val="right"/>
        <w:ind w:left="544" w:right="120"/>
        <w:spacing w:after="0" w:line="291" w:lineRule="auto"/>
        <w:rPr>
          <w:sz w:val="20"/>
          <w:szCs w:val="20"/>
          <w:color w:val="auto"/>
        </w:rPr>
      </w:pPr>
      <w:r>
        <w:rPr>
          <w:rFonts w:ascii="Arial" w:cs="Arial" w:eastAsia="Arial" w:hAnsi="Arial"/>
          <w:sz w:val="16"/>
          <w:szCs w:val="16"/>
          <w:color w:val="auto"/>
        </w:rPr>
        <w:t>3.1.1   Subject to Clauses 3.9, 6 and 7 and the other terms of this Agreement, ARM grants (and if applicable, procures the grant by any other members of the ARM Group) to JVCo a perpetual and irrevocable (except that this grant is revocable only in accordance with Clause</w:t>
      </w:r>
    </w:p>
    <w:p>
      <w:pPr>
        <w:ind w:left="1184"/>
        <w:spacing w:after="0" w:line="277" w:lineRule="auto"/>
        <w:rPr>
          <w:sz w:val="20"/>
          <w:szCs w:val="20"/>
          <w:color w:val="auto"/>
        </w:rPr>
      </w:pPr>
      <w:r>
        <w:rPr>
          <w:rFonts w:ascii="Arial" w:cs="Arial" w:eastAsia="Arial" w:hAnsi="Arial"/>
          <w:sz w:val="17"/>
          <w:szCs w:val="17"/>
          <w:color w:val="auto"/>
        </w:rPr>
        <w:t>8.7 (to the extent that a JVCo Licensed Product is excluded from the license scope pursuant to that Clause 8.7) and Clause 28), royalty-bearing (to the extent set out in Schedule 2), assignable (only in accordance with Clause 41) worldwide license, with a right to sub-license (only to the extent permitted in Clauses 3.1.1(i), 3.1.1(ii), 3.1.1(vii) and 4), of the Architecture IP to:</w:t>
      </w:r>
    </w:p>
    <w:p>
      <w:pPr>
        <w:spacing w:after="0" w:line="78" w:lineRule="exact"/>
        <w:rPr>
          <w:sz w:val="20"/>
          <w:szCs w:val="20"/>
          <w:color w:val="auto"/>
        </w:rPr>
      </w:pPr>
    </w:p>
    <w:p>
      <w:pPr>
        <w:ind w:left="1744" w:right="180" w:hanging="543"/>
        <w:spacing w:after="0" w:line="263" w:lineRule="auto"/>
        <w:tabs>
          <w:tab w:leader="none" w:pos="174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grant Commercial sub-licenses of the Licensed ARM Architectures to PRC Licensees solely to the extent required to comply with the obligations of the licensor entity in each of the Novated License Agreements (in the form that such agreements are novated to JVCo);</w:t>
      </w:r>
    </w:p>
    <w:p>
      <w:pPr>
        <w:spacing w:after="0" w:line="89" w:lineRule="exact"/>
        <w:rPr>
          <w:rFonts w:ascii="Arial" w:cs="Arial" w:eastAsia="Arial" w:hAnsi="Arial"/>
          <w:sz w:val="18"/>
          <w:szCs w:val="18"/>
          <w:color w:val="auto"/>
        </w:rPr>
      </w:pPr>
    </w:p>
    <w:p>
      <w:pPr>
        <w:ind w:left="1744" w:right="40" w:hanging="543"/>
        <w:spacing w:after="0" w:line="301" w:lineRule="auto"/>
        <w:tabs>
          <w:tab w:leader="none" w:pos="174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grant new Commercial sub-licenses of the Licensed ARM Architectures to PRC Licensees, provided that such sub-licenses are granted on the terms of the ARM Model License for that Licensed ARM Architecture (which terms may include any Permitted Deviations relevant to that ARM Model License and, where agreed, Licensing Exceptions) and solely for the purposes of the creation, manufacture and distribution of integrated circuits incorporating Architecture Compliant Cores by PRC Licensees;</w:t>
      </w:r>
    </w:p>
    <w:p>
      <w:pPr>
        <w:spacing w:after="0" w:line="9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4"/>
          </w:cols>
          <w:pgMar w:left="436" w:top="274" w:right="539" w:bottom="1440" w:gutter="0" w:footer="0" w:header="0"/>
        </w:sectPr>
      </w:pPr>
    </w:p>
    <w:bookmarkStart w:id="324" w:name="page325"/>
    <w:bookmarkEnd w:id="324"/>
    <w:p>
      <w:pPr>
        <w:ind w:left="1740" w:hanging="543"/>
        <w:spacing w:after="0"/>
        <w:tabs>
          <w:tab w:leader="none" w:pos="1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and copy the Architecture Reference Manuals for the purposes of designing Architecture Compliant Cores;</w:t>
      </w:r>
    </w:p>
    <w:p>
      <w:pPr>
        <w:spacing w:after="0" w:line="130" w:lineRule="exact"/>
        <w:rPr>
          <w:rFonts w:ascii="Arial" w:cs="Arial" w:eastAsia="Arial" w:hAnsi="Arial"/>
          <w:sz w:val="18"/>
          <w:szCs w:val="18"/>
          <w:color w:val="auto"/>
        </w:rPr>
      </w:pPr>
    </w:p>
    <w:p>
      <w:pPr>
        <w:ind w:left="1740" w:right="600" w:hanging="543"/>
        <w:spacing w:after="0" w:line="277" w:lineRule="auto"/>
        <w:tabs>
          <w:tab w:leader="none" w:pos="1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use, copy and modify (solely for incorporation into JVCo’s documentation), the Architecture Reference Manuals for the purposes of creating JVCo documentation for Architecture Compliant Cores;</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use and copy the AVS only for the purposes of designing Architecture Compliant Cores;</w:t>
      </w:r>
    </w:p>
    <w:p>
      <w:pPr>
        <w:spacing w:after="0" w:line="130" w:lineRule="exact"/>
        <w:rPr>
          <w:rFonts w:ascii="Arial" w:cs="Arial" w:eastAsia="Arial" w:hAnsi="Arial"/>
          <w:sz w:val="18"/>
          <w:szCs w:val="18"/>
          <w:color w:val="auto"/>
        </w:rPr>
      </w:pPr>
    </w:p>
    <w:p>
      <w:pPr>
        <w:ind w:left="1740" w:right="300" w:hanging="543"/>
        <w:spacing w:after="0" w:line="263" w:lineRule="auto"/>
        <w:tabs>
          <w:tab w:leader="none" w:pos="1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manufacture and have manufactured test chips for the Architecture Compliant Cores for non-revenue-bearing distribution of those test chips to PRC Licensees, provided that the total number of test chips shall not exceed 500 chips for each unique ‘system-on-chip’ test chip design; and</w:t>
      </w:r>
    </w:p>
    <w:p>
      <w:pPr>
        <w:spacing w:after="0" w:line="89" w:lineRule="exact"/>
        <w:rPr>
          <w:rFonts w:ascii="Arial" w:cs="Arial" w:eastAsia="Arial" w:hAnsi="Arial"/>
          <w:sz w:val="18"/>
          <w:szCs w:val="18"/>
          <w:color w:val="auto"/>
        </w:rPr>
      </w:pPr>
    </w:p>
    <w:p>
      <w:pPr>
        <w:ind w:left="1740" w:right="400" w:hanging="543"/>
        <w:spacing w:after="0" w:line="259" w:lineRule="auto"/>
        <w:tabs>
          <w:tab w:leader="none" w:pos="1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grant Commercial sub-licenses of any Architecture Compliant Cores that constitute Derivative Products to PRC Licensees, provided that such sub-licenses are granted on the terms of the ARM Model License for that Architecture Compliant Core (which terms may include any Permitted Deviations relevant to that ARM Model License and, where agreed, Licensing Exceptions),</w:t>
      </w:r>
    </w:p>
    <w:p>
      <w:pPr>
        <w:spacing w:after="0" w:line="79" w:lineRule="exact"/>
        <w:rPr>
          <w:sz w:val="20"/>
          <w:szCs w:val="20"/>
          <w:color w:val="auto"/>
        </w:rPr>
      </w:pPr>
    </w:p>
    <w:p>
      <w:pPr>
        <w:ind w:left="540" w:right="460"/>
        <w:spacing w:after="0" w:line="277" w:lineRule="auto"/>
        <w:rPr>
          <w:sz w:val="20"/>
          <w:szCs w:val="20"/>
          <w:color w:val="auto"/>
        </w:rPr>
      </w:pPr>
      <w:r>
        <w:rPr>
          <w:rFonts w:ascii="Arial" w:cs="Arial" w:eastAsia="Arial" w:hAnsi="Arial"/>
          <w:sz w:val="18"/>
          <w:szCs w:val="18"/>
          <w:color w:val="auto"/>
        </w:rPr>
        <w:t>provided that, in the case of (iii) to (vii), such rights shall only extend to the design and sub-licensing of, and manufacture of test chips for, Architecture Compliant Cores that constitute Derivative Products.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License of Product IP</w:t>
      </w:r>
    </w:p>
    <w:p>
      <w:pPr>
        <w:spacing w:after="0" w:line="131" w:lineRule="exact"/>
        <w:rPr>
          <w:sz w:val="20"/>
          <w:szCs w:val="20"/>
          <w:color w:val="auto"/>
        </w:rPr>
      </w:pPr>
    </w:p>
    <w:p>
      <w:pPr>
        <w:jc w:val="right"/>
        <w:ind w:left="540" w:right="140"/>
        <w:spacing w:after="0" w:line="291" w:lineRule="auto"/>
        <w:rPr>
          <w:sz w:val="20"/>
          <w:szCs w:val="20"/>
          <w:color w:val="auto"/>
        </w:rPr>
      </w:pPr>
      <w:r>
        <w:rPr>
          <w:rFonts w:ascii="Arial" w:cs="Arial" w:eastAsia="Arial" w:hAnsi="Arial"/>
          <w:sz w:val="16"/>
          <w:szCs w:val="16"/>
          <w:color w:val="auto"/>
        </w:rPr>
        <w:t>3.2.1   Subject to Clauses 3.9, 6 and 7 and the other terms of this Agreement, ARM grants (and, if applicable, procures the grant by any other members of the ARM Group) to JVCo a perpetual and irrevocable (except that this grant is revocable only in accordance with Clause</w:t>
      </w:r>
    </w:p>
    <w:p>
      <w:pPr>
        <w:ind w:left="1180" w:right="60"/>
        <w:spacing w:after="0" w:line="277" w:lineRule="auto"/>
        <w:rPr>
          <w:sz w:val="20"/>
          <w:szCs w:val="20"/>
          <w:color w:val="auto"/>
        </w:rPr>
      </w:pPr>
      <w:r>
        <w:rPr>
          <w:rFonts w:ascii="Arial" w:cs="Arial" w:eastAsia="Arial" w:hAnsi="Arial"/>
          <w:sz w:val="17"/>
          <w:szCs w:val="17"/>
          <w:color w:val="auto"/>
        </w:rPr>
        <w:t>8.7 (to the extent that a JVCo Licensed Product is excluded from the license scope pursuant to that Clause 8.7) and Clause 28), royalty-bearing (to the extent set out in Schedule 2), assignable (only in accordance with Clause 41) worldwide license, with a right to sub-license (only to the extent permitted in Clause 3.2.1(i), 3.2.1(ii), 3.2.1(v) and 4), to the Product IP to:</w:t>
      </w:r>
    </w:p>
    <w:p>
      <w:pPr>
        <w:spacing w:after="0" w:line="78" w:lineRule="exact"/>
        <w:rPr>
          <w:sz w:val="20"/>
          <w:szCs w:val="20"/>
          <w:color w:val="auto"/>
        </w:rPr>
      </w:pPr>
    </w:p>
    <w:p>
      <w:pPr>
        <w:ind w:left="1740" w:hanging="543"/>
        <w:spacing w:after="0" w:line="263" w:lineRule="auto"/>
        <w:tabs>
          <w:tab w:leader="none" w:pos="17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grant Commercial sub-licenses of the Original ARM Products to PRC Licensees solely to the extent required to comply with the obligations of the licensor entity in each of the Novated License Agreements (in the form that such agreements are novated to JVCo);</w:t>
      </w:r>
    </w:p>
    <w:p>
      <w:pPr>
        <w:spacing w:after="0" w:line="89" w:lineRule="exact"/>
        <w:rPr>
          <w:rFonts w:ascii="Arial" w:cs="Arial" w:eastAsia="Arial" w:hAnsi="Arial"/>
          <w:sz w:val="18"/>
          <w:szCs w:val="18"/>
          <w:color w:val="auto"/>
        </w:rPr>
      </w:pPr>
    </w:p>
    <w:p>
      <w:pPr>
        <w:ind w:left="1740" w:right="140" w:hanging="543"/>
        <w:spacing w:after="0" w:line="259" w:lineRule="auto"/>
        <w:tabs>
          <w:tab w:leader="none" w:pos="17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grant new Commercial sub-licenses of the Original ARM Products and ARM Derivative Products to PRC Licensees, provided that such sub-licenses are granted on the terms of the relevant Applicable Model License for that Original ARM Product or ARM Derivative Product (which terms may include any Permitted Deviations relevant to that Applicable Model License and, where agreed, Licensing Exceptions);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25" w:name="page326"/>
    <w:bookmarkEnd w:id="325"/>
    <w:p>
      <w:pPr>
        <w:ind w:left="1740" w:right="400" w:hanging="543"/>
        <w:spacing w:after="0" w:line="259" w:lineRule="auto"/>
        <w:tabs>
          <w:tab w:leader="none" w:pos="17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Clause 6 and provided that the development of such Mutual Roadmap Derivative Product is agreed as part of the Business Plan, undertake research, modification and development activities with respect to the Original ARM Products (excluding the ARM Architectures), the Derivative Products and the ARM Derivative Products to create Mutual Roadmap Derivative Products;</w:t>
      </w:r>
    </w:p>
    <w:p>
      <w:pPr>
        <w:spacing w:after="0" w:line="92" w:lineRule="exact"/>
        <w:rPr>
          <w:rFonts w:ascii="Arial" w:cs="Arial" w:eastAsia="Arial" w:hAnsi="Arial"/>
          <w:sz w:val="18"/>
          <w:szCs w:val="18"/>
          <w:color w:val="auto"/>
        </w:rPr>
      </w:pPr>
    </w:p>
    <w:p>
      <w:pPr>
        <w:ind w:left="1740" w:right="160" w:hanging="543"/>
        <w:spacing w:after="0" w:line="311" w:lineRule="auto"/>
        <w:tabs>
          <w:tab w:leader="none" w:pos="17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subject to Clause 6 and provided that the development of such Other Derivative Product is agreed as part of the Business Plan, undertake research, modification and development activities with respect to the Original ARM Products (excluding the ARM Architectures), the Derivative Products and the ARM Derivative Products to create Other Derivative Products;</w:t>
      </w:r>
    </w:p>
    <w:p>
      <w:pPr>
        <w:spacing w:after="0" w:line="54" w:lineRule="exact"/>
        <w:rPr>
          <w:rFonts w:ascii="Arial" w:cs="Arial" w:eastAsia="Arial" w:hAnsi="Arial"/>
          <w:sz w:val="16"/>
          <w:szCs w:val="16"/>
          <w:color w:val="auto"/>
        </w:rPr>
      </w:pPr>
    </w:p>
    <w:p>
      <w:pPr>
        <w:ind w:left="1740" w:right="220" w:hanging="543"/>
        <w:spacing w:after="0" w:line="311" w:lineRule="auto"/>
        <w:tabs>
          <w:tab w:leader="none" w:pos="17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grant Commercial sub-licenses of any Derivative Products (excluding Architecture Compliant Cores) to PRC Licensees, provided that such sub-licenses are granted on the terms of the ARM Model License for that Derivative Product (which terms may include any Permitted Deviations relevant to that ARM Model License and, where agreed, Licensing Exceptions); and</w:t>
      </w:r>
    </w:p>
    <w:p>
      <w:pPr>
        <w:spacing w:after="0" w:line="54" w:lineRule="exact"/>
        <w:rPr>
          <w:rFonts w:ascii="Arial" w:cs="Arial" w:eastAsia="Arial" w:hAnsi="Arial"/>
          <w:sz w:val="16"/>
          <w:szCs w:val="16"/>
          <w:color w:val="auto"/>
        </w:rPr>
      </w:pPr>
    </w:p>
    <w:p>
      <w:pPr>
        <w:ind w:left="1740" w:right="40" w:hanging="543"/>
        <w:spacing w:after="0" w:line="263" w:lineRule="auto"/>
        <w:tabs>
          <w:tab w:leader="none" w:pos="17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manufacture and have manufactured test chips for the Original ARM Products and Derivative Products for non-revenue-bearing distribution to PRC Licensees, provided that the total number of test chips shall not exceed 500 chips for each unique ‘system-on-chip’ test chip design;</w:t>
      </w:r>
    </w:p>
    <w:p>
      <w:pPr>
        <w:spacing w:after="0" w:line="76"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provided that in the case of (iii) and (iv): (a) any rights to modify and develop JVCo Licensed Products shall not permit JVCo to create CPU Cores that do not constitute Architecture Compliant Cores; and (b) JVCo shall not, without the prior written consent of the Roadmap Committee, create or use any Derivative Product that uses or modifies any source code that subsists in an Original ARM Product or an ARM Derivative Product.</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License of ARM Brand Trade Marks</w:t>
      </w:r>
    </w:p>
    <w:p>
      <w:pPr>
        <w:spacing w:after="0" w:line="131" w:lineRule="exact"/>
        <w:rPr>
          <w:sz w:val="20"/>
          <w:szCs w:val="20"/>
          <w:color w:val="auto"/>
        </w:rPr>
      </w:pPr>
    </w:p>
    <w:p>
      <w:pPr>
        <w:ind w:left="1180" w:hanging="647"/>
        <w:spacing w:after="0" w:line="275" w:lineRule="auto"/>
        <w:tabs>
          <w:tab w:leader="none" w:pos="11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7"/>
          <w:szCs w:val="17"/>
          <w:color w:val="auto"/>
        </w:rPr>
        <w:t>Subject to Clauses 6, 7 and 8.7, the other terms of this Agreement and Article 12.4 of the Joint Venture Contract, ARM grants (and, if applicable, procures the grant by any other members of the ARM Group) to JVCo a non-exclusive (except that this grant is exclusive with respect to Clause (iv)), perpetual and irrevocable (except that this grant is revocable only in accordance with the termination events set out in Clause 28) assignable (only in accordance with Clause 41) worldwide license, with a right to sub-license (only to the extent permitted in Clauses 3.3.1(iii), 3.3.1(iv) and 4), to the ARM Brand Trade Marks to:</w:t>
      </w:r>
    </w:p>
    <w:p>
      <w:pPr>
        <w:spacing w:after="0" w:line="82" w:lineRule="exact"/>
        <w:rPr>
          <w:sz w:val="20"/>
          <w:szCs w:val="20"/>
          <w:color w:val="auto"/>
        </w:rPr>
      </w:pPr>
    </w:p>
    <w:p>
      <w:pPr>
        <w:ind w:left="1740" w:hanging="543"/>
        <w:spacing w:after="0"/>
        <w:tabs>
          <w:tab w:leader="none" w:pos="1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use the “Arm” word mark in the Company 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26" w:name="page327"/>
    <w:bookmarkEnd w:id="326"/>
    <w:p>
      <w:pPr>
        <w:ind w:left="1740" w:right="380" w:hanging="543"/>
        <w:spacing w:after="0" w:line="277" w:lineRule="auto"/>
        <w:tabs>
          <w:tab w:leader="none" w:pos="1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the ARM Brand Trade Marks in the PRC in connection with the promotion and marketing of the business of JVCo, and administrative activities related thereto;</w:t>
      </w:r>
    </w:p>
    <w:p>
      <w:pPr>
        <w:spacing w:after="0" w:line="75" w:lineRule="exact"/>
        <w:rPr>
          <w:rFonts w:ascii="Arial" w:cs="Arial" w:eastAsia="Arial" w:hAnsi="Arial"/>
          <w:sz w:val="18"/>
          <w:szCs w:val="18"/>
          <w:color w:val="auto"/>
        </w:rPr>
      </w:pPr>
    </w:p>
    <w:p>
      <w:pPr>
        <w:ind w:left="1740" w:hanging="543"/>
        <w:spacing w:after="0" w:line="342" w:lineRule="auto"/>
        <w:tabs>
          <w:tab w:leader="none" w:pos="17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grant sub-licenses of the ARM Brand Trade Marks to PRC Licensees to the extent required to comply with the obligations of the licensor entity in each of the Novated License Agreements (in the form that such agreements are novated to JVCo); and</w:t>
      </w:r>
    </w:p>
    <w:p>
      <w:pPr>
        <w:spacing w:after="0" w:line="29" w:lineRule="exact"/>
        <w:rPr>
          <w:rFonts w:ascii="Arial" w:cs="Arial" w:eastAsia="Arial" w:hAnsi="Arial"/>
          <w:sz w:val="16"/>
          <w:szCs w:val="16"/>
          <w:color w:val="auto"/>
        </w:rPr>
      </w:pPr>
    </w:p>
    <w:p>
      <w:pPr>
        <w:ind w:left="1740" w:right="200" w:hanging="543"/>
        <w:spacing w:after="0" w:line="259" w:lineRule="auto"/>
        <w:tabs>
          <w:tab w:leader="none" w:pos="1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grant new sub-licenses of the ARM Brand Trade Marks to PRC Licensees solely to the extent required for the promotion, sale and distribution of products developed by such sub-licensees pursuant to sub-licenses granted to such PRC Licensees in accordance with Clauses 3.1.1(i), 3.1.1(ii), 3.1.1(vii), 3.2.1(i), 3.2.1(ii) and 3.2.1(v) and provided that such sub-licensing is undertaken in accordance with the Joint Venture Contract.</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Upon ARM’s update of the Standard Product List, ARM shall deliver the updated Standard Product List to JVCo.</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0" w:right="200" w:hanging="539"/>
        <w:spacing w:after="0" w:line="342" w:lineRule="auto"/>
        <w:tabs>
          <w:tab w:leader="none" w:pos="5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JVCo shall use commercially reasonable efforts to ensure that each PRC Licensee to whom rights in ARM Licensed IP are granted pursuant to this Clause 3 complies with the terms of the licensing agreement entered into between JVCo and the relevant PRC Licensee.</w:t>
      </w:r>
    </w:p>
    <w:p>
      <w:pPr>
        <w:spacing w:after="0" w:line="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Notwithstanding anything to the contrary contained in this Agreement, at any time during the Term:</w:t>
      </w:r>
    </w:p>
    <w:p>
      <w:pPr>
        <w:spacing w:after="0" w:line="131" w:lineRule="exact"/>
        <w:rPr>
          <w:sz w:val="20"/>
          <w:szCs w:val="20"/>
          <w:color w:val="auto"/>
        </w:rPr>
      </w:pPr>
    </w:p>
    <w:p>
      <w:pPr>
        <w:ind w:left="1180" w:right="80" w:hanging="647"/>
        <w:spacing w:after="0" w:line="277" w:lineRule="auto"/>
        <w:tabs>
          <w:tab w:leader="none" w:pos="116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ARM may, upon written notice to JVCo, elect to remove Obsolete Technology from the scope of Original ARM Products (to the extent that it becomes Obsolete Technology under limb (ii) of the definition of Obsolete Technology);</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ARM may, upon written notice to JVCo, elect to remove Obsolete Marks from the scope of ARM Brand Trade Marks;</w:t>
      </w:r>
    </w:p>
    <w:p>
      <w:pPr>
        <w:spacing w:after="0" w:line="131" w:lineRule="exact"/>
        <w:rPr>
          <w:sz w:val="20"/>
          <w:szCs w:val="20"/>
          <w:color w:val="auto"/>
        </w:rPr>
      </w:pPr>
    </w:p>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the Roadmap Committee may elect to remove Obsolete Technology from the scope of Derivative Products or ARM Derivative Products (as applicable);</w:t>
      </w:r>
    </w:p>
    <w:p>
      <w:pPr>
        <w:spacing w:after="0" w:line="76" w:lineRule="exact"/>
        <w:rPr>
          <w:sz w:val="20"/>
          <w:szCs w:val="20"/>
          <w:color w:val="auto"/>
        </w:rPr>
      </w:pPr>
    </w:p>
    <w:p>
      <w:pPr>
        <w:ind w:left="1180" w:right="240" w:hanging="647"/>
        <w:spacing w:after="0" w:line="277" w:lineRule="auto"/>
        <w:tabs>
          <w:tab w:leader="none" w:pos="116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8"/>
          <w:szCs w:val="18"/>
          <w:color w:val="auto"/>
        </w:rPr>
        <w:t>JVCo may, upon written notice to ARM, elect to remove Obsolete Technology from the scope of Independent Products (to the extent that it becomes Obsolete Technology under limb (iii) of the definition of Obsolete Technology);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27" w:name="page328"/>
    <w:bookmarkEnd w:id="327"/>
    <w:p>
      <w:pPr>
        <w:ind w:left="54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each case, such removal shall take effect on the date set out in the written notice (with such date being no less than [***] days’ after the date of provision of the notice). Notwithstanding the foregoing, the licensed Party’s rights pursuant to this Agreement with respect to Obsolete Technology and Obsolete Marks shall survive solely for the purposes of complying with the terms of any sub-licenses granted prior to the date of receipt of such written notification, provided that, following the date of receipt of such notification, the licensed Party shall not enter into any new sub-licensing arrangements with respect to the Obsolete Marks, Obsolete Technology or any Architecture Compliant Core based on any Obsolete Technology.</w:t>
      </w:r>
    </w:p>
    <w:p>
      <w:pPr>
        <w:spacing w:after="0" w:line="98" w:lineRule="exact"/>
        <w:rPr>
          <w:sz w:val="20"/>
          <w:szCs w:val="20"/>
          <w:color w:val="auto"/>
        </w:rPr>
      </w:pPr>
    </w:p>
    <w:p>
      <w:pPr>
        <w:ind w:left="544" w:right="40" w:hanging="539"/>
        <w:spacing w:after="0" w:line="301" w:lineRule="auto"/>
        <w:tabs>
          <w:tab w:leader="none" w:pos="524"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ARM shall not, and shall procure that the other members of the ARM Group do not (in each case, without the prior written consent of JVCo), enter into any arrangement in the context of its development of ARM Derivative Products with any third party that would give such member of the ARM Group rights with respect to Intellectual Property owned by, or licensed to, such third party where the terms of that arrangement do not enable ARM to grant rights to JVCo on the terms set out in Clause 3.2 with respect to the affected ARM Derivative Product.</w:t>
      </w:r>
    </w:p>
    <w:p>
      <w:pPr>
        <w:spacing w:after="0" w:line="63" w:lineRule="exact"/>
        <w:rPr>
          <w:sz w:val="20"/>
          <w:szCs w:val="20"/>
          <w:color w:val="auto"/>
        </w:rPr>
      </w:pP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3.11</w:t>
        <w:tab/>
        <w:t>With respect to any Feedback received by any member of the ARM Group from a Non-PRC Licensee pursuant to a license agreement relating to a Derivative Product or an Independent Product and solely to the extent that ARM has the right to sub-license any such rights, ARM sub-licenses (and, if applicable, procures the sub-licensing by any other members of the ARM Group) to JVCo pursuant to the terms of this Agreement the scope of rights in such Feedback licensed to such member of the ARM Group by such Non-PRC Licensee, solely to the extent that such Feedback relates to the Derivative Product or Independent Product.</w:t>
      </w:r>
    </w:p>
    <w:p>
      <w:pPr>
        <w:spacing w:after="0" w:line="93" w:lineRule="exact"/>
        <w:rPr>
          <w:sz w:val="20"/>
          <w:szCs w:val="20"/>
          <w:color w:val="auto"/>
        </w:rPr>
      </w:pPr>
    </w:p>
    <w:p>
      <w:pPr>
        <w:ind w:left="544" w:right="620" w:hanging="539"/>
        <w:spacing w:after="0" w:line="308" w:lineRule="auto"/>
        <w:tabs>
          <w:tab w:leader="none" w:pos="52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 that shall be payable by JVCo to ARM pursuant to Section 2.05 of the Investment Agreement, together with the other terms of this Agreement, represents JVCo’s consideration for ARM’s grant to JVCo of the licenses under this Clause 3 of this Agreement.</w:t>
      </w:r>
    </w:p>
    <w:p>
      <w:pPr>
        <w:spacing w:after="0" w:line="48" w:lineRule="exact"/>
        <w:rPr>
          <w:sz w:val="20"/>
          <w:szCs w:val="20"/>
          <w:color w:val="auto"/>
        </w:rPr>
      </w:pPr>
    </w:p>
    <w:p>
      <w:pPr>
        <w:ind w:left="544" w:hanging="544"/>
        <w:spacing w:after="0"/>
        <w:tabs>
          <w:tab w:leader="none" w:pos="54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SUB-LICENSING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With respect to the rights granted to JVCo pursuant to Clauses 3.1.1(vi) and 3.2.1(vi) only, and subject to Clause 4.2 and the other terms of this</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Agreement, JVCo may exercise the right to:</w:t>
      </w:r>
    </w:p>
    <w:p>
      <w:pPr>
        <w:spacing w:after="0" w:line="11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have tested Original ARM Products and Derivative Products by a Test House; and</w:t>
      </w:r>
    </w:p>
    <w:p>
      <w:pPr>
        <w:spacing w:after="0" w:line="131" w:lineRule="exact"/>
        <w:rPr>
          <w:sz w:val="20"/>
          <w:szCs w:val="20"/>
          <w:color w:val="auto"/>
        </w:rPr>
      </w:pPr>
    </w:p>
    <w:p>
      <w:pPr>
        <w:ind w:left="1184" w:right="680" w:hanging="647"/>
        <w:spacing w:after="0" w:line="277" w:lineRule="auto"/>
        <w:tabs>
          <w:tab w:leader="none" w:pos="1164"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have manufactured test chips for such Original ARM Products and Derivative Products by a Manufacturer (each Test House or Manufacturer generically, a “</w:t>
      </w:r>
      <w:r>
        <w:rPr>
          <w:rFonts w:ascii="Arial" w:cs="Arial" w:eastAsia="Arial" w:hAnsi="Arial"/>
          <w:sz w:val="18"/>
          <w:szCs w:val="18"/>
          <w:b w:val="1"/>
          <w:bCs w:val="1"/>
          <w:color w:val="auto"/>
        </w:rPr>
        <w:t>Sub-Licensee</w:t>
      </w:r>
      <w:r>
        <w:rPr>
          <w:rFonts w:ascii="Arial" w:cs="Arial" w:eastAsia="Arial" w:hAnsi="Arial"/>
          <w:sz w:val="18"/>
          <w:szCs w:val="18"/>
          <w:color w:val="auto"/>
        </w:rPr>
        <w:t>”),</w:t>
      </w:r>
    </w:p>
    <w:p>
      <w:pPr>
        <w:spacing w:after="0" w:line="62" w:lineRule="exact"/>
        <w:rPr>
          <w:sz w:val="20"/>
          <w:szCs w:val="20"/>
          <w:color w:val="auto"/>
        </w:rPr>
      </w:pPr>
    </w:p>
    <w:p>
      <w:pPr>
        <w:ind w:left="544" w:right="80"/>
        <w:spacing w:after="0" w:line="263" w:lineRule="auto"/>
        <w:rPr>
          <w:sz w:val="20"/>
          <w:szCs w:val="20"/>
          <w:color w:val="auto"/>
        </w:rPr>
      </w:pPr>
      <w:r>
        <w:rPr>
          <w:rFonts w:ascii="Arial" w:cs="Arial" w:eastAsia="Arial" w:hAnsi="Arial"/>
          <w:sz w:val="18"/>
          <w:szCs w:val="18"/>
          <w:color w:val="auto"/>
        </w:rPr>
        <w:t>in each case provided that: (a) JVCo does not grant to the Test House or Manufacturer any license in respect of the ARM Licensed IP for any purpose other than for testing test chips for Derivative Products solely for JVCo (in the case of a Test House) or for manufacturing test chips for Derivative Products solely for JVCo (in the case of a</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328" w:name="page329"/>
    <w:bookmarkEnd w:id="328"/>
    <w:p>
      <w:pPr>
        <w:ind w:left="544"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Manufacturer); and (b) the Test House or Manufacturer, as the case may be, is subject to a contractual obligation to use the Confidential Information of the ARM Group, the ARM IP and the JVCo Licensed Product for the purposes of supplying units of the Derivative Products solely to JVCo for testing.</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Treatment of Sub-Licensees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JVCo shall ensure that each Sub-Licensee:</w:t>
      </w:r>
    </w:p>
    <w:p>
      <w:pPr>
        <w:spacing w:after="0" w:line="131" w:lineRule="exact"/>
        <w:rPr>
          <w:sz w:val="20"/>
          <w:szCs w:val="20"/>
          <w:color w:val="auto"/>
        </w:rPr>
      </w:pPr>
    </w:p>
    <w:p>
      <w:pPr>
        <w:ind w:left="1744" w:right="360" w:hanging="543"/>
        <w:spacing w:after="0" w:line="277" w:lineRule="auto"/>
        <w:tabs>
          <w:tab w:leader="none" w:pos="174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enters into an agreement with JVCo, the terms of which are in writing and not in conflict with Clauses 3.1.1(vi), 3.2.1(vi) or 6.1.1 of this Agreement (save where otherwise permitted in writing by ARM);</w:t>
      </w:r>
    </w:p>
    <w:p>
      <w:pPr>
        <w:spacing w:after="0" w:line="75" w:lineRule="exact"/>
        <w:rPr>
          <w:rFonts w:ascii="Arial" w:cs="Arial" w:eastAsia="Arial" w:hAnsi="Arial"/>
          <w:sz w:val="18"/>
          <w:szCs w:val="18"/>
          <w:color w:val="auto"/>
        </w:rPr>
      </w:pPr>
    </w:p>
    <w:p>
      <w:pPr>
        <w:ind w:left="1744" w:hanging="543"/>
        <w:spacing w:after="0" w:line="263" w:lineRule="auto"/>
        <w:tabs>
          <w:tab w:leader="none" w:pos="174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is subject to contractual obligations of confidentiality in respect of the Confidential Information of the ARM Group, the ARM IP and the Original ARM Product, Derivative Product and any ARM Derivative Product which are no less onerous than the provisions of Clause 35 (save where otherwise permitted in writing by ARM); and</w:t>
      </w:r>
    </w:p>
    <w:p>
      <w:pPr>
        <w:spacing w:after="0" w:line="89" w:lineRule="exact"/>
        <w:rPr>
          <w:rFonts w:ascii="Arial" w:cs="Arial" w:eastAsia="Arial" w:hAnsi="Arial"/>
          <w:sz w:val="18"/>
          <w:szCs w:val="18"/>
          <w:color w:val="auto"/>
        </w:rPr>
      </w:pPr>
    </w:p>
    <w:p>
      <w:pPr>
        <w:ind w:left="1744" w:right="200" w:hanging="543"/>
        <w:spacing w:after="0" w:line="279" w:lineRule="auto"/>
        <w:tabs>
          <w:tab w:leader="none" w:pos="174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is subject to a contractual obligation to return or destroy (and certify destruction of) any Confidential Information of the ARM Group and any JVCo Licensed Products to JVCo upon the earlier of: (i) the completion of the Sub-Licensee’s permitted activities; and (ii) the end of the contractual confidentiality period (in the agreement between JVCo and the Sub-Licensee) for the relevant Confidential Information of the ARM Group or JVCo Licensed Products.</w:t>
      </w:r>
    </w:p>
    <w:p>
      <w:pPr>
        <w:spacing w:after="0" w:line="77" w:lineRule="exact"/>
        <w:rPr>
          <w:sz w:val="20"/>
          <w:szCs w:val="20"/>
          <w:color w:val="auto"/>
        </w:rPr>
      </w:pPr>
    </w:p>
    <w:p>
      <w:pPr>
        <w:ind w:left="1184" w:right="200" w:hanging="647"/>
        <w:spacing w:after="0" w:line="311" w:lineRule="auto"/>
        <w:tabs>
          <w:tab w:leader="none" w:pos="1164"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Any use of the ARM IP by a Sub-Licensee, and all acts and omissions of such Sub-Licensees, shall be deemed use by, and acts and omissions of, JVCo for the purposes of this Agreement (including, without limitation, acts and omissions which would be breaches of this Agreement if the Sub-Licensee were JVCo which, for the avoidance of doubt, shall be deemed breaches by JVCo).</w:t>
      </w:r>
    </w:p>
    <w:p>
      <w:pPr>
        <w:spacing w:after="0" w:line="54" w:lineRule="exact"/>
        <w:rPr>
          <w:sz w:val="20"/>
          <w:szCs w:val="20"/>
          <w:color w:val="auto"/>
        </w:rPr>
      </w:pPr>
    </w:p>
    <w:p>
      <w:pPr>
        <w:ind w:left="1184" w:right="240" w:hanging="647"/>
        <w:spacing w:after="0" w:line="263" w:lineRule="auto"/>
        <w:tabs>
          <w:tab w:leader="none" w:pos="1164"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In the event that any Sub-Licensee is in breach of any of the terms of this Agreement, JVCo shall hold harmless and indemnify ARM (and any members of the ARM Group) against all and any loss, liability, costs, damages and expenses suffered as a result of, or in connection with, such breach.</w:t>
      </w:r>
    </w:p>
    <w:p>
      <w:pPr>
        <w:spacing w:after="0" w:line="89" w:lineRule="exact"/>
        <w:rPr>
          <w:sz w:val="20"/>
          <w:szCs w:val="20"/>
          <w:color w:val="auto"/>
        </w:rPr>
      </w:pPr>
    </w:p>
    <w:p>
      <w:pPr>
        <w:jc w:val="both"/>
        <w:ind w:left="1184" w:right="160" w:hanging="647"/>
        <w:spacing w:after="0" w:line="263" w:lineRule="auto"/>
        <w:tabs>
          <w:tab w:leader="none" w:pos="1164"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For the avoidance of doubt: (i) except as expressly permitted in Clause 3 or Clause 4 of this Agreement, no right is granted to JVCo to sub-license the ARM Licensed IP; and (ii) all sub-licenses granted pursuant to Clause 4.1 shall terminate immediately on the expiry or termination of this Agreement.</w:t>
      </w:r>
    </w:p>
    <w:p>
      <w:pPr>
        <w:spacing w:after="0" w:line="85" w:lineRule="exact"/>
        <w:rPr>
          <w:sz w:val="20"/>
          <w:szCs w:val="20"/>
          <w:color w:val="auto"/>
        </w:rPr>
      </w:pPr>
    </w:p>
    <w:p>
      <w:pPr>
        <w:ind w:left="544" w:hanging="544"/>
        <w:spacing w:after="0"/>
        <w:tabs>
          <w:tab w:leader="none" w:pos="54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COSTS OF IN-LICENSED OR CO-OWNED INTELLECTUAL PROPERTY</w:t>
      </w:r>
    </w:p>
    <w:p>
      <w:pPr>
        <w:spacing w:after="0" w:line="135" w:lineRule="exact"/>
        <w:rPr>
          <w:sz w:val="20"/>
          <w:szCs w:val="20"/>
          <w:color w:val="auto"/>
        </w:rPr>
      </w:pPr>
    </w:p>
    <w:p>
      <w:pPr>
        <w:ind w:left="544" w:right="720" w:hanging="539"/>
        <w:spacing w:after="0" w:line="308"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If any in-licensed or co-owned technology (which is embodied in an Original ARM Product or an ARM Derivative Product) consists of Intellectual Property that would constitute Architecture IP or Product IP if it was Controlled by ARM but does not because ARM</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4" w:right="439" w:bottom="1440" w:gutter="0" w:footer="0" w:header="0"/>
        </w:sectPr>
      </w:pPr>
    </w:p>
    <w:bookmarkStart w:id="329" w:name="page330"/>
    <w:bookmarkEnd w:id="329"/>
    <w:p>
      <w:pPr>
        <w:ind w:left="54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cannot grant JVCo a license or sub-license under such Intellectual Property without being obligated or otherwise required to pay any additional financial or other consideration to and/or obtain the consent of any third party (“</w:t>
      </w:r>
      <w:r>
        <w:rPr>
          <w:rFonts w:ascii="Arial" w:cs="Arial" w:eastAsia="Arial" w:hAnsi="Arial"/>
          <w:sz w:val="18"/>
          <w:szCs w:val="18"/>
          <w:b w:val="1"/>
          <w:bCs w:val="1"/>
          <w:color w:val="auto"/>
        </w:rPr>
        <w:t>Third Party Restricted IP</w:t>
      </w:r>
      <w:r>
        <w:rPr>
          <w:rFonts w:ascii="Arial" w:cs="Arial" w:eastAsia="Arial" w:hAnsi="Arial"/>
          <w:sz w:val="18"/>
          <w:szCs w:val="18"/>
          <w:color w:val="auto"/>
        </w:rPr>
        <w:t>”), the provisions of this Clause 5 shall apply.</w:t>
      </w:r>
    </w:p>
    <w:p>
      <w:pPr>
        <w:spacing w:after="0" w:line="89" w:lineRule="exact"/>
        <w:rPr>
          <w:sz w:val="20"/>
          <w:szCs w:val="20"/>
          <w:color w:val="auto"/>
        </w:rPr>
      </w:pPr>
    </w:p>
    <w:p>
      <w:pPr>
        <w:ind w:left="540" w:right="80" w:hanging="539"/>
        <w:spacing w:after="0" w:line="301" w:lineRule="auto"/>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ARM shall inform JVCo of any Third Party Restricted IP that subsists in an Original ARM Product or ARM Derivative Product as soon as reasonably practicable upon becoming aware of the Third Party Restricted IP and ARM shall consult with JVCo in order to: (i) understand whether JVCo wishes to license to PRC Licensees the product that the Third Party Restricted IP relates to (or otherwise modify or develop that product); and (ii) consider which of the options set out at Clause 5.4 below is most appropriate for that Third Party Restricted IP.</w:t>
      </w:r>
    </w:p>
    <w:p>
      <w:pPr>
        <w:spacing w:after="0" w:line="63" w:lineRule="exact"/>
        <w:rPr>
          <w:sz w:val="20"/>
          <w:szCs w:val="20"/>
          <w:color w:val="auto"/>
        </w:rPr>
      </w:pPr>
    </w:p>
    <w:p>
      <w:pPr>
        <w:ind w:left="540" w:hanging="539"/>
        <w:spacing w:after="0" w:line="286"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From the date of such notification by ARM and unless and until rights are secured for the benefit of JVCo with respect to such Third Party Restricted IP (in accordance with this Clause 5 or otherwise), JVCo shall not undertake any activities with respect to the affected Original ARM Product or ARM Derivative Product (including, for the avoidance of doubt, sub-licensing such rights to PRC Licensees).</w:t>
      </w:r>
    </w:p>
    <w:p>
      <w:pPr>
        <w:spacing w:after="0" w:line="7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With respect to each element of Third Party Restricted IP and upon written notice to JVCo, ARM may elect to:</w:t>
      </w:r>
    </w:p>
    <w:p>
      <w:pPr>
        <w:spacing w:after="0" w:line="131" w:lineRule="exact"/>
        <w:rPr>
          <w:sz w:val="20"/>
          <w:szCs w:val="20"/>
          <w:color w:val="auto"/>
        </w:rPr>
      </w:pPr>
    </w:p>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8"/>
          <w:szCs w:val="18"/>
          <w:color w:val="auto"/>
        </w:rPr>
        <w:t>secure rights from the relevant third party to enable ARM to sub-license such Third Party Restricted IP to JVCo in accordance with the terms of this Agreement;</w:t>
      </w:r>
    </w:p>
    <w:p>
      <w:pPr>
        <w:spacing w:after="0" w:line="76" w:lineRule="exact"/>
        <w:rPr>
          <w:sz w:val="20"/>
          <w:szCs w:val="20"/>
          <w:color w:val="auto"/>
        </w:rPr>
      </w:pPr>
    </w:p>
    <w:p>
      <w:pPr>
        <w:ind w:left="1180" w:right="80" w:hanging="647"/>
        <w:spacing w:after="0" w:line="259" w:lineRule="auto"/>
        <w:tabs>
          <w:tab w:leader="none" w:pos="116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8"/>
          <w:szCs w:val="18"/>
          <w:color w:val="auto"/>
        </w:rPr>
        <w:t>subject to Clauses 5.12 and 5.13, implement an alternative structure to avoid the need to secure the rights from the relevant third party to sub-license such Third Party Restricted IP to JVCo (an “</w:t>
      </w:r>
      <w:r>
        <w:rPr>
          <w:rFonts w:ascii="Arial" w:cs="Arial" w:eastAsia="Arial" w:hAnsi="Arial"/>
          <w:sz w:val="18"/>
          <w:szCs w:val="18"/>
          <w:b w:val="1"/>
          <w:bCs w:val="1"/>
          <w:color w:val="auto"/>
        </w:rPr>
        <w:t>Alternative Third Party Workaround</w:t>
      </w:r>
      <w:r>
        <w:rPr>
          <w:rFonts w:ascii="Arial" w:cs="Arial" w:eastAsia="Arial" w:hAnsi="Arial"/>
          <w:sz w:val="18"/>
          <w:szCs w:val="18"/>
          <w:color w:val="auto"/>
        </w:rPr>
        <w:t>”) (which may include the direct licensing of such Third Party Restricted IP from ARM to the PRC Licensee (with or without JVCo acting as ARM’s agent for that purpose) (a “</w:t>
      </w:r>
      <w:r>
        <w:rPr>
          <w:rFonts w:ascii="Arial" w:cs="Arial" w:eastAsia="Arial" w:hAnsi="Arial"/>
          <w:sz w:val="18"/>
          <w:szCs w:val="18"/>
          <w:b w:val="1"/>
          <w:bCs w:val="1"/>
          <w:color w:val="auto"/>
        </w:rPr>
        <w:t>Direct Third Party Licensing Arrangement</w:t>
      </w:r>
      <w:r>
        <w:rPr>
          <w:rFonts w:ascii="Arial" w:cs="Arial" w:eastAsia="Arial" w:hAnsi="Arial"/>
          <w:sz w:val="18"/>
          <w:szCs w:val="18"/>
          <w:color w:val="auto"/>
        </w:rPr>
        <w:t>”)); or</w:t>
      </w:r>
    </w:p>
    <w:p>
      <w:pPr>
        <w:spacing w:after="0" w:line="92" w:lineRule="exact"/>
        <w:rPr>
          <w:sz w:val="20"/>
          <w:szCs w:val="20"/>
          <w:color w:val="auto"/>
        </w:rPr>
      </w:pPr>
    </w:p>
    <w:p>
      <w:pPr>
        <w:ind w:left="1180" w:right="220" w:hanging="647"/>
        <w:spacing w:after="0" w:line="277" w:lineRule="auto"/>
        <w:tabs>
          <w:tab w:leader="none" w:pos="116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8"/>
          <w:szCs w:val="18"/>
          <w:color w:val="auto"/>
        </w:rPr>
        <w:t>subject to Clause 5.7, notify JVCo that it should secure rights directly from the third party owner (or distributor) of such Third Party Restricted IP.</w:t>
      </w:r>
    </w:p>
    <w:p>
      <w:pPr>
        <w:spacing w:after="0" w:line="76" w:lineRule="exact"/>
        <w:rPr>
          <w:sz w:val="20"/>
          <w:szCs w:val="20"/>
          <w:color w:val="auto"/>
        </w:rPr>
      </w:pPr>
    </w:p>
    <w:p>
      <w:pPr>
        <w:ind w:left="540" w:right="220" w:hanging="539"/>
        <w:spacing w:after="0" w:line="277" w:lineRule="auto"/>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In the event that ARM’s initial election (in accordance with Clause 5.4) does not prove to be reasonably practicable, ARM may, upon written notice to JVCo, elect to pursue a different option with respect to the relevant Third Party Restricted IP.</w:t>
      </w:r>
    </w:p>
    <w:p>
      <w:pPr>
        <w:spacing w:after="0" w:line="76" w:lineRule="exact"/>
        <w:rPr>
          <w:sz w:val="20"/>
          <w:szCs w:val="20"/>
          <w:color w:val="auto"/>
        </w:rPr>
      </w:pPr>
    </w:p>
    <w:p>
      <w:pPr>
        <w:ind w:left="540" w:right="100" w:hanging="539"/>
        <w:spacing w:after="0" w:line="311" w:lineRule="auto"/>
        <w:tabs>
          <w:tab w:leader="none" w:pos="5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Where ARM secures the right to sub-license Third Party Restricted IP in accordance with Clause 5.4.1, all reasonable costs required by such third party in consideration of the obtaining of any such consent will be borne by ARM. Upon securing such rights, ARM shall provide written notice to JVCo and that Third Party Restricted IP shall be considered to be Controlled by ARM for the purposes of this Agreement.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40" w:top="274" w:right="539" w:bottom="1440" w:gutter="0" w:footer="0" w:header="0"/>
        </w:sectPr>
      </w:pPr>
    </w:p>
    <w:bookmarkStart w:id="330" w:name="page331"/>
    <w:bookmarkEnd w:id="330"/>
    <w:p>
      <w:pPr>
        <w:ind w:left="540" w:right="420" w:hanging="539"/>
        <w:spacing w:after="0" w:line="30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w:t>
      </w:r>
      <w:r>
        <w:rPr>
          <w:sz w:val="20"/>
          <w:szCs w:val="20"/>
          <w:color w:val="auto"/>
        </w:rPr>
        <w:tab/>
      </w:r>
      <w:r>
        <w:rPr>
          <w:rFonts w:ascii="Arial" w:cs="Arial" w:eastAsia="Arial" w:hAnsi="Arial"/>
          <w:sz w:val="17"/>
          <w:szCs w:val="17"/>
          <w:color w:val="auto"/>
        </w:rPr>
        <w:t>The Parties acknowledge and agree that the option set out at Clause 5.4.3 shall only be appropriate where: (i) it is reasonably practicable for JVCo to secure such rights directly; and (ii) the related costs are not material (in the context of the business of JVCo).</w:t>
      </w:r>
    </w:p>
    <w:p>
      <w:pPr>
        <w:spacing w:after="0" w:line="52" w:lineRule="exact"/>
        <w:rPr>
          <w:sz w:val="20"/>
          <w:szCs w:val="20"/>
          <w:color w:val="auto"/>
        </w:rPr>
      </w:pPr>
    </w:p>
    <w:p>
      <w:pPr>
        <w:ind w:left="540" w:right="440" w:hanging="539"/>
        <w:spacing w:after="0" w:line="277" w:lineRule="auto"/>
        <w:tabs>
          <w:tab w:leader="none" w:pos="5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To the extent that ARM has identified any Third Party Restricted IP prior to the Effective Date, ARM shall ensure that, with respect to each element of such Third Party Restricted IP, ARM has either:</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6"/>
          <w:szCs w:val="16"/>
          <w:color w:val="auto"/>
        </w:rPr>
        <w:t>secured rights from the relevant third party in accordance with Clause 5.4.1 with respect to that Third Party Restricted IP;</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5.8.2</w:t>
      </w:r>
      <w:r>
        <w:rPr>
          <w:sz w:val="20"/>
          <w:szCs w:val="20"/>
          <w:color w:val="auto"/>
        </w:rPr>
        <w:tab/>
      </w:r>
      <w:r>
        <w:rPr>
          <w:rFonts w:ascii="Arial" w:cs="Arial" w:eastAsia="Arial" w:hAnsi="Arial"/>
          <w:sz w:val="16"/>
          <w:szCs w:val="16"/>
          <w:color w:val="auto"/>
        </w:rPr>
        <w:t>implemented an Alternative Third Party Workaround in accordance with Clause 5.4.2 with respect to that Third Party Restricted IP; or</w:t>
      </w:r>
    </w:p>
    <w:p>
      <w:pPr>
        <w:spacing w:after="0" w:line="131" w:lineRule="exact"/>
        <w:rPr>
          <w:sz w:val="20"/>
          <w:szCs w:val="20"/>
          <w:color w:val="auto"/>
        </w:rPr>
      </w:pPr>
    </w:p>
    <w:p>
      <w:pPr>
        <w:ind w:left="1180" w:right="40" w:hanging="647"/>
        <w:spacing w:after="0" w:line="277" w:lineRule="auto"/>
        <w:tabs>
          <w:tab w:leader="none" w:pos="1160"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8"/>
          <w:szCs w:val="18"/>
          <w:color w:val="auto"/>
        </w:rPr>
        <w:t>subject to Clause 5.7, notified JVCo that it should secure such rights directly in accordance with 5.4.3, in sufficient time to enable JVCo (acting reasonably) to secure such rights in advance of the Effective Date,</w:t>
      </w:r>
    </w:p>
    <w:p>
      <w:pPr>
        <w:spacing w:after="0" w:line="62" w:lineRule="exact"/>
        <w:rPr>
          <w:sz w:val="20"/>
          <w:szCs w:val="20"/>
          <w:color w:val="auto"/>
        </w:rPr>
      </w:pPr>
    </w:p>
    <w:p>
      <w:pPr>
        <w:ind w:left="540" w:right="260"/>
        <w:spacing w:after="0" w:line="263" w:lineRule="auto"/>
        <w:rPr>
          <w:sz w:val="20"/>
          <w:szCs w:val="20"/>
          <w:color w:val="auto"/>
        </w:rPr>
      </w:pPr>
      <w:r>
        <w:rPr>
          <w:rFonts w:ascii="Arial" w:cs="Arial" w:eastAsia="Arial" w:hAnsi="Arial"/>
          <w:sz w:val="18"/>
          <w:szCs w:val="18"/>
          <w:color w:val="auto"/>
        </w:rPr>
        <w:t>in each case, by the Effective Date. For the avoidance of doubt, Clause 5.7 shall apply to ARM’s ability to elect to pursue the option set out at Clause 5.8.3 above with respect to any Third Party Restricted IP and if the related costs become material, ARM shall instead pursue an alternative option (of those set out in Clause 5.8) with respect to that Third Party Restricted IP.</w:t>
      </w:r>
    </w:p>
    <w:p>
      <w:pPr>
        <w:spacing w:after="0" w:line="89" w:lineRule="exact"/>
        <w:rPr>
          <w:sz w:val="20"/>
          <w:szCs w:val="20"/>
          <w:color w:val="auto"/>
        </w:rPr>
      </w:pPr>
    </w:p>
    <w:p>
      <w:pPr>
        <w:ind w:left="540" w:right="20" w:hanging="539"/>
        <w:spacing w:after="0" w:line="273" w:lineRule="auto"/>
        <w:tabs>
          <w:tab w:leader="none" w:pos="5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color w:val="auto"/>
        </w:rPr>
        <w:t>On or prior to the Effective Date, ARM shall provide written details to JVCo of the solution reached (in accordance with Clause 5.8) with respect to each element of Third Party Restricted IP that had been identified by ARM prior to the Effective Date. Where relevant, such details shall include details of the nature of the Alternative Third Party Workaround implemented for any affected Original ARM Product. By complying with Clauses 5.8 and 5.9, ARM shall be deemed to have satisfied the requirements of this Clause 5, in so far as it relates to Third Party Restricted IP identified prior to the Effective Date. Clause 5.5 shall apply to such Third Party Restricted IP identified prior to the Effective Date, such that ARM may elect to pursue a different option, on written notice to JVCo (whether before or after the Effective Date).</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In addition to the use of Alternative Workarounds with respect to Third Party Restricted IP, ARM may, upon written notice to JVCo, elect to</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implement an alternative structure for other Original ARM Products (an “</w:t>
      </w:r>
      <w:r>
        <w:rPr>
          <w:rFonts w:ascii="Arial" w:cs="Arial" w:eastAsia="Arial" w:hAnsi="Arial"/>
          <w:sz w:val="17"/>
          <w:szCs w:val="17"/>
          <w:b w:val="1"/>
          <w:bCs w:val="1"/>
          <w:color w:val="auto"/>
        </w:rPr>
        <w:t>Other Alternative Workaround</w:t>
      </w:r>
      <w:r>
        <w:rPr>
          <w:rFonts w:ascii="Arial" w:cs="Arial" w:eastAsia="Arial" w:hAnsi="Arial"/>
          <w:sz w:val="17"/>
          <w:szCs w:val="17"/>
          <w:color w:val="auto"/>
        </w:rPr>
        <w:t>”) (which may include the direct</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licensing of such Original ARM Product from ARM to the PRC Licensee (with or without JVCo acting as ARM’s agent for that purpose) (an</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Direct Licensing Arrangement</w:t>
      </w:r>
      <w:r>
        <w:rPr>
          <w:rFonts w:ascii="Arial" w:cs="Arial" w:eastAsia="Arial" w:hAnsi="Arial"/>
          <w:sz w:val="16"/>
          <w:szCs w:val="16"/>
          <w:color w:val="auto"/>
        </w:rPr>
        <w:t>”)) where: (i) ARM has used its reasonable endeavours to avoid recourse to such an alternative structure;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(ii) it is not reasonably practicable for the Original ARM Product to be sub-licensed to PRC Licensees by JVCo directly.</w:t>
      </w:r>
    </w:p>
    <w:p>
      <w:pPr>
        <w:spacing w:after="0" w:line="116" w:lineRule="exact"/>
        <w:rPr>
          <w:sz w:val="20"/>
          <w:szCs w:val="20"/>
          <w:color w:val="auto"/>
        </w:rPr>
      </w:pPr>
    </w:p>
    <w:p>
      <w:pPr>
        <w:jc w:val="both"/>
        <w:ind w:left="540" w:right="40" w:hanging="539"/>
        <w:spacing w:after="0" w:line="263" w:lineRule="auto"/>
        <w:tabs>
          <w:tab w:leader="none" w:pos="520" w:val="left"/>
        </w:tabs>
        <w:rPr>
          <w:sz w:val="20"/>
          <w:szCs w:val="20"/>
          <w:color w:val="auto"/>
        </w:rPr>
      </w:pPr>
      <w:r>
        <w:rPr>
          <w:rFonts w:ascii="Arial" w:cs="Arial" w:eastAsia="Arial" w:hAnsi="Arial"/>
          <w:sz w:val="18"/>
          <w:szCs w:val="18"/>
          <w:color w:val="auto"/>
        </w:rPr>
        <w:t>5.11</w:t>
        <w:tab/>
        <w:t>Where an Alternative Workaround is in place, JVCo shall not undertake any licensing activities in contravention of such Alternative Workaround (including purporting to sub-license such rights to PRC Licensees directly, where such sub-licensing by JVCo is inconsistent with the Alternative Workaround).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331" w:name="page332"/>
    <w:bookmarkEnd w:id="331"/>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5.12</w:t>
      </w:r>
      <w:r>
        <w:rPr>
          <w:sz w:val="20"/>
          <w:szCs w:val="20"/>
          <w:color w:val="auto"/>
        </w:rPr>
        <w:tab/>
      </w:r>
      <w:r>
        <w:rPr>
          <w:rFonts w:ascii="Arial" w:cs="Arial" w:eastAsia="Arial" w:hAnsi="Arial"/>
          <w:sz w:val="16"/>
          <w:szCs w:val="16"/>
          <w:color w:val="auto"/>
        </w:rPr>
        <w:t>Where ARM elects to implement an Alternative Workaround, ARM shall: (i) provide JVCo with written notice of the intended structure; and</w:t>
      </w:r>
    </w:p>
    <w:p>
      <w:pPr>
        <w:spacing w:after="0" w:line="23" w:lineRule="exact"/>
        <w:rPr>
          <w:sz w:val="20"/>
          <w:szCs w:val="20"/>
          <w:color w:val="auto"/>
        </w:rPr>
      </w:pPr>
    </w:p>
    <w:p>
      <w:pPr>
        <w:ind w:left="544" w:right="100" w:hanging="4"/>
        <w:spacing w:after="0" w:line="255" w:lineRule="auto"/>
        <w:tabs>
          <w:tab w:leader="none" w:pos="8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ensure that JVCo suffers no material financial disadvantage from the Alternative Workaround (as compared to the position that JVCo would have been in if the Original ARM Product had been licensed to JVCo in accordance with the terms of this Agreement). ARM and JVC shall co-operate to implement the required mechanism to facilitate such Alternative Workaround.</w:t>
      </w:r>
    </w:p>
    <w:p>
      <w:pPr>
        <w:spacing w:after="0" w:line="95" w:lineRule="exact"/>
        <w:rPr>
          <w:sz w:val="20"/>
          <w:szCs w:val="20"/>
          <w:color w:val="auto"/>
        </w:rPr>
      </w:pP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5.13</w:t>
        <w:tab/>
        <w:t>Where an Alternative Workaround constitutes a Direct Licensing Arrangement, ARM shall only enter into such a direct license agreement at JVCo’s written request and JVCo shall retain sole discretion as to such requests. ARM shall comply with JVCo’s reasonable requests with respect to any such Direct Licensing Arrangement with a PRC Licensee, provided that JVCo shall reimburse ARM for any costs it incurs in relation to such requests and JVCo shall not require ARM to undertake any activity that would put ARM in breach of any contractual obligations owed to any such PRC Licensee.</w:t>
      </w:r>
    </w:p>
    <w:p>
      <w:pPr>
        <w:spacing w:after="0" w:line="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5"/>
          <w:szCs w:val="15"/>
          <w:color w:val="auto"/>
        </w:rPr>
        <w:t>JVCo agrees:</w:t>
      </w:r>
    </w:p>
    <w:p>
      <w:pPr>
        <w:spacing w:after="0" w:line="127" w:lineRule="exact"/>
        <w:rPr>
          <w:sz w:val="20"/>
          <w:szCs w:val="20"/>
          <w:color w:val="auto"/>
        </w:rPr>
      </w:pPr>
    </w:p>
    <w:p>
      <w:pPr>
        <w:ind w:left="1184" w:right="60" w:hanging="647"/>
        <w:spacing w:after="0" w:line="347" w:lineRule="auto"/>
        <w:tabs>
          <w:tab w:leader="none" w:pos="1164" w:val="left"/>
        </w:tabs>
        <w:rPr>
          <w:sz w:val="20"/>
          <w:szCs w:val="20"/>
          <w:color w:val="auto"/>
        </w:rPr>
      </w:pPr>
      <w:r>
        <w:rPr>
          <w:rFonts w:ascii="Arial" w:cs="Arial" w:eastAsia="Arial" w:hAnsi="Arial"/>
          <w:sz w:val="18"/>
          <w:szCs w:val="18"/>
          <w:color w:val="auto"/>
        </w:rPr>
        <w:t>5.14.1</w:t>
      </w:r>
      <w:r>
        <w:rPr>
          <w:sz w:val="20"/>
          <w:szCs w:val="20"/>
          <w:color w:val="auto"/>
        </w:rPr>
        <w:tab/>
      </w:r>
      <w:r>
        <w:rPr>
          <w:rFonts w:ascii="Arial" w:cs="Arial" w:eastAsia="Arial" w:hAnsi="Arial"/>
          <w:sz w:val="16"/>
          <w:szCs w:val="16"/>
          <w:color w:val="auto"/>
        </w:rPr>
        <w:t>to comply with the terms of any agreement between ARM (or its wholly owned Subsidiary) and third parties (“</w:t>
      </w:r>
      <w:r>
        <w:rPr>
          <w:rFonts w:ascii="Arial" w:cs="Arial" w:eastAsia="Arial" w:hAnsi="Arial"/>
          <w:sz w:val="16"/>
          <w:szCs w:val="16"/>
          <w:b w:val="1"/>
          <w:bCs w:val="1"/>
          <w:color w:val="auto"/>
        </w:rPr>
        <w:t>Third Party 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IP Agreements</w:t>
      </w:r>
      <w:r>
        <w:rPr>
          <w:rFonts w:ascii="Arial" w:cs="Arial" w:eastAsia="Arial" w:hAnsi="Arial"/>
          <w:sz w:val="16"/>
          <w:szCs w:val="16"/>
          <w:color w:val="auto"/>
        </w:rPr>
        <w:t>”) in respect of the rights to the Third Party Restricted IP licensed or sub-licensed to JVCo hereunder; and</w:t>
      </w:r>
    </w:p>
    <w:p>
      <w:pPr>
        <w:spacing w:after="0" w:line="25" w:lineRule="exact"/>
        <w:rPr>
          <w:sz w:val="20"/>
          <w:szCs w:val="20"/>
          <w:color w:val="auto"/>
        </w:rPr>
      </w:pPr>
    </w:p>
    <w:p>
      <w:pPr>
        <w:ind w:left="1184" w:right="260" w:hanging="647"/>
        <w:spacing w:after="0" w:line="263" w:lineRule="auto"/>
        <w:tabs>
          <w:tab w:leader="none" w:pos="1164" w:val="left"/>
        </w:tabs>
        <w:rPr>
          <w:sz w:val="20"/>
          <w:szCs w:val="20"/>
          <w:color w:val="auto"/>
        </w:rPr>
      </w:pPr>
      <w:r>
        <w:rPr>
          <w:rFonts w:ascii="Arial" w:cs="Arial" w:eastAsia="Arial" w:hAnsi="Arial"/>
          <w:sz w:val="18"/>
          <w:szCs w:val="18"/>
          <w:color w:val="auto"/>
        </w:rPr>
        <w:t>5.14.2</w:t>
        <w:tab/>
        <w:t>to cooperate in good faith with ARM and take any action necessary, advisable or reasonably requested by ARM to perform the obligations of ARM with respect to the Third Party Restricted IP and preserve the rights of ARM under the Third Party Restricted IP Agreements.</w:t>
      </w:r>
    </w:p>
    <w:p>
      <w:pPr>
        <w:spacing w:after="0" w:line="85" w:lineRule="exact"/>
        <w:rPr>
          <w:sz w:val="20"/>
          <w:szCs w:val="20"/>
          <w:color w:val="auto"/>
        </w:rPr>
      </w:pPr>
    </w:p>
    <w:p>
      <w:pPr>
        <w:ind w:left="544" w:hanging="544"/>
        <w:spacing w:after="0"/>
        <w:tabs>
          <w:tab w:leader="none" w:pos="544"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JVCO</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JVCo shall not, and shall procure that the other members of the JVCo Group do not, in each case without the prior written consent of ARM:</w:t>
      </w:r>
    </w:p>
    <w:p>
      <w:pPr>
        <w:spacing w:after="0" w:line="131" w:lineRule="exact"/>
        <w:rPr>
          <w:sz w:val="20"/>
          <w:szCs w:val="20"/>
          <w:color w:val="auto"/>
        </w:rPr>
      </w:pPr>
    </w:p>
    <w:p>
      <w:pPr>
        <w:ind w:left="1184" w:hanging="647"/>
        <w:spacing w:after="0" w:line="259" w:lineRule="auto"/>
        <w:tabs>
          <w:tab w:leader="none" w:pos="116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enter into any arrangement in the context of its development of Derivative Products or Independent Products with any third party that would give such member of the JVCo Group rights with respect to Intellectual Property owned by, or licensed to, such third party where the terms of that arrangement do not enable JVCo to grant rights to ARM on the terms set out in Clause 13 with respect to that affected Derivative Product or Independent Product;</w:t>
      </w:r>
    </w:p>
    <w:p>
      <w:pPr>
        <w:spacing w:after="0" w:line="92" w:lineRule="exact"/>
        <w:rPr>
          <w:sz w:val="20"/>
          <w:szCs w:val="20"/>
          <w:color w:val="auto"/>
        </w:rPr>
      </w:pPr>
    </w:p>
    <w:p>
      <w:pPr>
        <w:ind w:left="1184" w:right="260" w:hanging="647"/>
        <w:spacing w:after="0" w:line="263" w:lineRule="auto"/>
        <w:tabs>
          <w:tab w:leader="none" w:pos="1164"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develop any Derivative Product or Independent Product that requires JVCo to obtain a license of Intellectual Property from any third party (excluding, for the avoidance of doubt, any member of the ARM Group) where such licenses require JVCo to disclose, or otherwise make available, any aspect of the resulting technology;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332" w:name="page333"/>
    <w:bookmarkEnd w:id="332"/>
    <w:p>
      <w:pPr>
        <w:ind w:left="1180" w:right="20" w:hanging="647"/>
        <w:spacing w:after="0" w:line="25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6.1.3</w:t>
      </w:r>
      <w:r>
        <w:rPr>
          <w:sz w:val="20"/>
          <w:szCs w:val="20"/>
          <w:color w:val="auto"/>
        </w:rPr>
        <w:tab/>
      </w:r>
      <w:r>
        <w:rPr>
          <w:rFonts w:ascii="Arial" w:cs="Arial" w:eastAsia="Arial" w:hAnsi="Arial"/>
          <w:sz w:val="18"/>
          <w:szCs w:val="18"/>
          <w:color w:val="auto"/>
        </w:rPr>
        <w:t>release any JVCo Licensed Product (to the extent that such JVCo Licensed Product is not an Independent Product), any other ARM Semiconductor Technology or any technology related to an Excluded Product in a manner that would subject ARM IP to the terms of open source licenses, or the rules of bodies governing Standards (other than those bodies that ARM is already a party to) (provided that nothing in this Clause 6.1.3 shall require JVCo to unencumber any ARM IP from such open source arrangements or open source licensing obligations where ARM has encumbered the ARM IP).</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Architecture Licenses and Non-Standard Licenses</w:t>
      </w:r>
    </w:p>
    <w:p>
      <w:pPr>
        <w:spacing w:after="0" w:line="131" w:lineRule="exact"/>
        <w:rPr>
          <w:sz w:val="20"/>
          <w:szCs w:val="20"/>
          <w:color w:val="auto"/>
        </w:rPr>
      </w:pPr>
    </w:p>
    <w:p>
      <w:pPr>
        <w:jc w:val="both"/>
        <w:ind w:left="1180" w:right="220" w:hanging="647"/>
        <w:spacing w:after="0" w:line="263" w:lineRule="auto"/>
        <w:tabs>
          <w:tab w:leader="none" w:pos="11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In advance of JVCo entering into any Architecture License (or amending any existing Architecture License), the Parties must reach mutual written agreement on the decision over whether JVCo may enter into that Architecture License (including with respect to the scope of, and resources required for, that Architecture License).</w:t>
      </w:r>
    </w:p>
    <w:p>
      <w:pPr>
        <w:spacing w:after="0" w:line="89"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JVCo shall not, without the prior written consent of ARM, enter into any Non-Standard License with a PRC Licensee. Notwithstanding the granting of any consent by ARM in accordance with this Clause 6.2, JVCo shall not:</w:t>
      </w:r>
    </w:p>
    <w:p>
      <w:pPr>
        <w:spacing w:after="0" w:line="76" w:lineRule="exact"/>
        <w:rPr>
          <w:sz w:val="20"/>
          <w:szCs w:val="20"/>
          <w:color w:val="auto"/>
        </w:rPr>
      </w:pPr>
    </w:p>
    <w:p>
      <w:pPr>
        <w:ind w:left="1740" w:right="380" w:hanging="543"/>
        <w:spacing w:after="0" w:line="277" w:lineRule="auto"/>
        <w:tabs>
          <w:tab w:leader="none" w:pos="17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enter into any Non-Standard License until ARM has confirmed that it is satisfied (acting reasonably) with the terms of that Non-Standard License; or</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amend any Non-Standard License without the prior written consent of ARM.</w:t>
      </w:r>
    </w:p>
    <w:p>
      <w:pPr>
        <w:spacing w:after="0" w:line="131" w:lineRule="exact"/>
        <w:rPr>
          <w:sz w:val="20"/>
          <w:szCs w:val="20"/>
          <w:color w:val="auto"/>
        </w:rPr>
      </w:pPr>
    </w:p>
    <w:p>
      <w:pPr>
        <w:ind w:left="1180" w:right="40" w:hanging="647"/>
        <w:spacing w:after="0" w:line="279" w:lineRule="auto"/>
        <w:tabs>
          <w:tab w:leader="none" w:pos="11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7"/>
          <w:szCs w:val="17"/>
          <w:color w:val="auto"/>
        </w:rPr>
        <w:t>In regards to Clause 6.2.1 and Clause 6.2.2, any failure by ARM to provide an initial response to JVCo in the relevant matter (which may, for the avoidance of doubt, take the form of a request for further information or an acknowledgment of receipt) within [***] Business Days after its receipt of JVCo’s request for an Architecture License or Non-Standard License respectively shall automatically be deemed to have been escalated to the Senior Representatives as a Dispute in accordance with Clause 40.2.</w:t>
      </w:r>
    </w:p>
    <w:p>
      <w:pPr>
        <w:spacing w:after="0" w:line="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CPU Cores</w:t>
      </w:r>
    </w:p>
    <w:p>
      <w:pPr>
        <w:spacing w:after="0" w:line="117" w:lineRule="exact"/>
        <w:rPr>
          <w:sz w:val="20"/>
          <w:szCs w:val="20"/>
          <w:color w:val="auto"/>
        </w:rPr>
      </w:pPr>
    </w:p>
    <w:p>
      <w:pPr>
        <w:ind w:left="540" w:right="20"/>
        <w:spacing w:after="0" w:line="257" w:lineRule="auto"/>
        <w:rPr>
          <w:sz w:val="20"/>
          <w:szCs w:val="20"/>
          <w:color w:val="auto"/>
        </w:rPr>
      </w:pPr>
      <w:r>
        <w:rPr>
          <w:rFonts w:ascii="Arial" w:cs="Arial" w:eastAsia="Arial" w:hAnsi="Arial"/>
          <w:sz w:val="18"/>
          <w:szCs w:val="18"/>
          <w:color w:val="auto"/>
        </w:rPr>
        <w:t>Without prejudice to Clause 6.5, JVCo shall not: (i) develop or license any CPU Core that is an Independent Product; or (ii) develop or license CPU Cores that do not constitute Architecture Compliant Cores that have been verified in accordance with the verification procedures set out in the ARM Model License for that Licensed ARM Architecture (including, for the avoidance of doubt, formulating and executing a verification plan and successfully running the relevant ARM architectural validation suite for that Licensed ARM Architecture in accordance with the ARM Model License).</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Derivative Products and Independent Products – General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440" w:top="274" w:right="519" w:bottom="1440" w:gutter="0" w:footer="0" w:header="0"/>
        </w:sectPr>
      </w:pPr>
    </w:p>
    <w:bookmarkStart w:id="333" w:name="page334"/>
    <w:bookmarkEnd w:id="333"/>
    <w:p>
      <w:pPr>
        <w:ind w:left="540"/>
        <w:spacing w:after="0"/>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6.4.1</w:t>
      </w:r>
      <w:r>
        <w:rPr>
          <w:sz w:val="20"/>
          <w:szCs w:val="20"/>
          <w:color w:val="auto"/>
        </w:rPr>
        <w:tab/>
      </w:r>
      <w:r>
        <w:rPr>
          <w:rFonts w:ascii="Arial" w:cs="Arial" w:eastAsia="Arial" w:hAnsi="Arial"/>
          <w:sz w:val="16"/>
          <w:szCs w:val="16"/>
          <w:color w:val="auto"/>
        </w:rPr>
        <w:t>JVCo shall not create or otherwise exploit any Independent Product that does not constitute Semiconductor Technology.</w:t>
      </w:r>
    </w:p>
    <w:p>
      <w:pPr>
        <w:spacing w:after="0" w:line="131" w:lineRule="exact"/>
        <w:rPr>
          <w:sz w:val="20"/>
          <w:szCs w:val="20"/>
          <w:color w:val="auto"/>
        </w:rPr>
      </w:pPr>
    </w:p>
    <w:p>
      <w:pPr>
        <w:ind w:left="1180" w:right="520" w:hanging="647"/>
        <w:spacing w:after="0" w:line="277" w:lineRule="auto"/>
        <w:tabs>
          <w:tab w:leader="none" w:pos="116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8"/>
          <w:szCs w:val="18"/>
          <w:color w:val="auto"/>
        </w:rPr>
        <w:t>Prior to the licensing of a Derivative Product by JVCo, the Roadmap Committee shall determine whether the Derivative Product constitutes a Mutual Roadmap Derivative Product in accordance with Clause 38.</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Derivative Products and Independent Products – Verification</w:t>
      </w:r>
    </w:p>
    <w:p>
      <w:pPr>
        <w:spacing w:after="0" w:line="131" w:lineRule="exact"/>
        <w:rPr>
          <w:sz w:val="20"/>
          <w:szCs w:val="20"/>
          <w:color w:val="auto"/>
        </w:rPr>
      </w:pPr>
    </w:p>
    <w:p>
      <w:pPr>
        <w:jc w:val="both"/>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8"/>
          <w:szCs w:val="18"/>
          <w:color w:val="auto"/>
        </w:rPr>
        <w:t>With respect to each Derivative Product and Independent Product (to the extent that such Independent Product is branded with an ARM Brand Trade Mark), JVCo shall use the Verification Support Materials provided by ARM to create a Verification Strategy Document, to at least an equivalent level of detail to the template verification strategy document provided by ARM to JVCo as part of the Verification Support Materials.</w:t>
      </w:r>
    </w:p>
    <w:p>
      <w:pPr>
        <w:spacing w:after="0" w:line="92" w:lineRule="exact"/>
        <w:rPr>
          <w:sz w:val="20"/>
          <w:szCs w:val="20"/>
          <w:color w:val="auto"/>
        </w:rPr>
      </w:pPr>
    </w:p>
    <w:p>
      <w:pPr>
        <w:ind w:left="1180" w:right="420" w:hanging="647"/>
        <w:spacing w:after="0" w:line="308" w:lineRule="auto"/>
        <w:tabs>
          <w:tab w:leader="none" w:pos="116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17"/>
          <w:szCs w:val="17"/>
          <w:color w:val="auto"/>
        </w:rPr>
        <w:t>With respect to each Independent Product (to the extent that such Independent Product is not branded with any ARM Brand Trade Mark), JVCo shall develop the relevant Verification Strategy Document based on Good Industry Practice.</w:t>
      </w:r>
    </w:p>
    <w:p>
      <w:pPr>
        <w:spacing w:after="0" w:line="52" w:lineRule="exact"/>
        <w:rPr>
          <w:sz w:val="20"/>
          <w:szCs w:val="20"/>
          <w:color w:val="auto"/>
        </w:rPr>
      </w:pPr>
    </w:p>
    <w:p>
      <w:pPr>
        <w:ind w:left="1180" w:right="20" w:hanging="647"/>
        <w:spacing w:after="0" w:line="273" w:lineRule="auto"/>
        <w:tabs>
          <w:tab w:leader="none" w:pos="1160" w:val="left"/>
        </w:tabs>
        <w:rPr>
          <w:sz w:val="20"/>
          <w:szCs w:val="20"/>
          <w:color w:val="auto"/>
        </w:rPr>
      </w:pPr>
      <w:r>
        <w:rPr>
          <w:rFonts w:ascii="Arial" w:cs="Arial" w:eastAsia="Arial" w:hAnsi="Arial"/>
          <w:sz w:val="18"/>
          <w:szCs w:val="18"/>
          <w:color w:val="auto"/>
        </w:rPr>
        <w:t>6.5.3</w:t>
      </w:r>
      <w:r>
        <w:rPr>
          <w:sz w:val="20"/>
          <w:szCs w:val="20"/>
          <w:color w:val="auto"/>
        </w:rPr>
        <w:tab/>
      </w:r>
      <w:r>
        <w:rPr>
          <w:rFonts w:ascii="Arial" w:cs="Arial" w:eastAsia="Arial" w:hAnsi="Arial"/>
          <w:sz w:val="17"/>
          <w:szCs w:val="17"/>
          <w:color w:val="auto"/>
        </w:rPr>
        <w:t>JVCo shall provide the appointed Verification Assessor with a copy of the Verification Strategy Document created in accordance with this Clause 6.5 and the Verification Assessor shall confirm to JVCo whether that Verification Strategy Document has been approved for use or whether amendments are required to the Verification Strategy Document. Where the Verification Assessor requires (acting reasonably) JVCo to make amendments to the Verification Strategy Document, JVCo shall continue to amend and re-submit the Verification Strategy Document until the amended Verification Strategy Document is approved by the Verification Assessor, which approval may not be unreasonably withheld, delayed or conditioned.</w:t>
      </w:r>
    </w:p>
    <w:p>
      <w:pPr>
        <w:spacing w:after="0" w:line="83" w:lineRule="exact"/>
        <w:rPr>
          <w:sz w:val="20"/>
          <w:szCs w:val="20"/>
          <w:color w:val="auto"/>
        </w:rPr>
      </w:pPr>
    </w:p>
    <w:p>
      <w:pPr>
        <w:jc w:val="both"/>
        <w:ind w:left="1180" w:right="40" w:hanging="647"/>
        <w:spacing w:after="0" w:line="263" w:lineRule="auto"/>
        <w:tabs>
          <w:tab w:leader="none" w:pos="1160" w:val="left"/>
        </w:tabs>
        <w:rPr>
          <w:sz w:val="20"/>
          <w:szCs w:val="20"/>
          <w:color w:val="auto"/>
        </w:rPr>
      </w:pPr>
      <w:r>
        <w:rPr>
          <w:rFonts w:ascii="Arial" w:cs="Arial" w:eastAsia="Arial" w:hAnsi="Arial"/>
          <w:sz w:val="18"/>
          <w:szCs w:val="18"/>
          <w:color w:val="auto"/>
        </w:rPr>
        <w:t>6.5.4</w:t>
      </w:r>
      <w:r>
        <w:rPr>
          <w:sz w:val="20"/>
          <w:szCs w:val="20"/>
          <w:color w:val="auto"/>
        </w:rPr>
        <w:tab/>
      </w:r>
      <w:r>
        <w:rPr>
          <w:rFonts w:ascii="Arial" w:cs="Arial" w:eastAsia="Arial" w:hAnsi="Arial"/>
          <w:sz w:val="18"/>
          <w:szCs w:val="18"/>
          <w:color w:val="auto"/>
        </w:rPr>
        <w:t>Prior to the licensing of any Intellectual Property in a Derivative Product or an Independent Product to any PRC Licensees, JVCo shall complete the verification of the product in accordance with the approved Verification Strategy Document (following the process set out in Clauses 6.5.5 and 6.5.6).</w:t>
      </w:r>
    </w:p>
    <w:p>
      <w:pPr>
        <w:spacing w:after="0" w:line="89" w:lineRule="exact"/>
        <w:rPr>
          <w:sz w:val="20"/>
          <w:szCs w:val="20"/>
          <w:color w:val="auto"/>
        </w:rPr>
      </w:pPr>
    </w:p>
    <w:p>
      <w:pPr>
        <w:ind w:left="1180" w:right="360" w:hanging="647"/>
        <w:spacing w:after="0" w:line="259" w:lineRule="auto"/>
        <w:tabs>
          <w:tab w:leader="none" w:pos="1160" w:val="left"/>
        </w:tabs>
        <w:rPr>
          <w:sz w:val="20"/>
          <w:szCs w:val="20"/>
          <w:color w:val="auto"/>
        </w:rPr>
      </w:pPr>
      <w:r>
        <w:rPr>
          <w:rFonts w:ascii="Arial" w:cs="Arial" w:eastAsia="Arial" w:hAnsi="Arial"/>
          <w:sz w:val="18"/>
          <w:szCs w:val="18"/>
          <w:color w:val="auto"/>
        </w:rPr>
        <w:t>6.5.5</w:t>
      </w:r>
      <w:r>
        <w:rPr>
          <w:sz w:val="20"/>
          <w:szCs w:val="20"/>
          <w:color w:val="auto"/>
        </w:rPr>
        <w:tab/>
      </w:r>
      <w:r>
        <w:rPr>
          <w:rFonts w:ascii="Arial" w:cs="Arial" w:eastAsia="Arial" w:hAnsi="Arial"/>
          <w:sz w:val="18"/>
          <w:szCs w:val="18"/>
          <w:color w:val="auto"/>
        </w:rPr>
        <w:t>Following the undertaking of such verification, JVCo shall provide the Verification Assessor with the outputs required by the Verification Strategy Document (including, for the avoidance of doubt: (i) copies of all test data obtained as part of the verification process; and (ii) confirmation that all relevant engineering assessment milestones that relate to that product have been successfully completed).</w:t>
      </w:r>
    </w:p>
    <w:p>
      <w:pPr>
        <w:spacing w:after="0" w:line="92" w:lineRule="exact"/>
        <w:rPr>
          <w:sz w:val="20"/>
          <w:szCs w:val="20"/>
          <w:color w:val="auto"/>
        </w:rPr>
      </w:pPr>
    </w:p>
    <w:p>
      <w:pPr>
        <w:ind w:left="1180" w:right="40" w:hanging="647"/>
        <w:spacing w:after="0" w:line="257" w:lineRule="auto"/>
        <w:tabs>
          <w:tab w:leader="none" w:pos="1160" w:val="left"/>
        </w:tabs>
        <w:rPr>
          <w:sz w:val="20"/>
          <w:szCs w:val="20"/>
          <w:color w:val="auto"/>
        </w:rPr>
      </w:pPr>
      <w:r>
        <w:rPr>
          <w:rFonts w:ascii="Arial" w:cs="Arial" w:eastAsia="Arial" w:hAnsi="Arial"/>
          <w:sz w:val="18"/>
          <w:szCs w:val="18"/>
          <w:color w:val="auto"/>
        </w:rPr>
        <w:t>6.5.6</w:t>
      </w:r>
      <w:r>
        <w:rPr>
          <w:sz w:val="20"/>
          <w:szCs w:val="20"/>
          <w:color w:val="auto"/>
        </w:rPr>
        <w:tab/>
      </w:r>
      <w:r>
        <w:rPr>
          <w:rFonts w:ascii="Arial" w:cs="Arial" w:eastAsia="Arial" w:hAnsi="Arial"/>
          <w:sz w:val="18"/>
          <w:szCs w:val="18"/>
          <w:color w:val="auto"/>
        </w:rPr>
        <w:t>Promptly following receipt of the outputs described in Clause 6.5.5, the Verification Assessor shall confirm in writing to JVCo whether the requirements of the Verification Strategy Document have been met. Where the requirements are not met, the Verification Assessor shall identify the deficiencies, which deficiencies JVCo shall address, until such time as the Verification Assessor confirms that the requirements of the Verification Strategy Document have been met, at which stage the verification of the product shall be deemed to be complete.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4" w:right="499" w:bottom="1440" w:gutter="0" w:footer="0" w:header="0"/>
        </w:sectPr>
      </w:pPr>
    </w:p>
    <w:bookmarkStart w:id="334" w:name="page335"/>
    <w:bookmarkEnd w:id="334"/>
    <w:p>
      <w:pPr>
        <w:ind w:left="544" w:right="60" w:hanging="539"/>
        <w:spacing w:after="0" w:line="286"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6.6</w:t>
      </w:r>
      <w:r>
        <w:rPr>
          <w:sz w:val="20"/>
          <w:szCs w:val="20"/>
          <w:color w:val="auto"/>
        </w:rPr>
        <w:tab/>
      </w:r>
      <w:r>
        <w:rPr>
          <w:rFonts w:ascii="Arial" w:cs="Arial" w:eastAsia="Arial" w:hAnsi="Arial"/>
          <w:sz w:val="17"/>
          <w:szCs w:val="17"/>
          <w:color w:val="auto"/>
        </w:rPr>
        <w:t>Where ARM is satisfied (acting reasonably) that JVCo has the required capability to undertake verification, ARM shall notify JVCo and, from the date of receipt of that notification, JVCo may instead elect to appoint an individual from JVCo to act as Verification Assessor with respect to Independent Products (and an individual from ARM shall continue to undertake that role with respect to Derivative Products).</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ARM Model License</w:t>
      </w:r>
    </w:p>
    <w:p>
      <w:pPr>
        <w:spacing w:after="0" w:line="117" w:lineRule="exact"/>
        <w:rPr>
          <w:sz w:val="20"/>
          <w:szCs w:val="20"/>
          <w:color w:val="auto"/>
        </w:rPr>
      </w:pPr>
    </w:p>
    <w:p>
      <w:pPr>
        <w:ind w:left="544" w:right="180"/>
        <w:spacing w:after="0" w:line="263" w:lineRule="auto"/>
        <w:rPr>
          <w:sz w:val="20"/>
          <w:szCs w:val="20"/>
          <w:color w:val="auto"/>
        </w:rPr>
      </w:pPr>
      <w:r>
        <w:rPr>
          <w:rFonts w:ascii="Arial" w:cs="Arial" w:eastAsia="Arial" w:hAnsi="Arial"/>
          <w:sz w:val="18"/>
          <w:szCs w:val="18"/>
          <w:color w:val="auto"/>
        </w:rPr>
        <w:t>Before ARM makes or implements any edits, modifications, amendments, or other changes to any ARM Model License that would reasonably be expected to have an adverse effect on JVCo’s dealings with PRC Licensees, ARM shall, in good faith, consult with JVCo and take any reasonable suggestions made by JVCo into consideration.</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JVCo Model License</w:t>
      </w:r>
    </w:p>
    <w:p>
      <w:pPr>
        <w:spacing w:after="0" w:line="117" w:lineRule="exact"/>
        <w:rPr>
          <w:sz w:val="20"/>
          <w:szCs w:val="20"/>
          <w:color w:val="auto"/>
        </w:rPr>
      </w:pPr>
    </w:p>
    <w:p>
      <w:pPr>
        <w:jc w:val="both"/>
        <w:ind w:left="544" w:right="180"/>
        <w:spacing w:after="0" w:line="263" w:lineRule="auto"/>
        <w:rPr>
          <w:sz w:val="20"/>
          <w:szCs w:val="20"/>
          <w:color w:val="auto"/>
        </w:rPr>
      </w:pPr>
      <w:r>
        <w:rPr>
          <w:rFonts w:ascii="Arial" w:cs="Arial" w:eastAsia="Arial" w:hAnsi="Arial"/>
          <w:sz w:val="18"/>
          <w:szCs w:val="18"/>
          <w:color w:val="auto"/>
        </w:rPr>
        <w:t>Before JVCo makes or implements any edits, modifications, amendments, or other changes to any JVCo Model License that would reasonably be expected to have an adverse effect on ARM’s dealings with Non-PRC Licensees, JVCo shall, in good faith, consult with ARM and take any reasonable suggestions made by ARM into consideration.</w:t>
      </w:r>
    </w:p>
    <w:p>
      <w:pPr>
        <w:spacing w:after="0" w:line="85" w:lineRule="exact"/>
        <w:rPr>
          <w:sz w:val="20"/>
          <w:szCs w:val="20"/>
          <w:color w:val="auto"/>
        </w:rPr>
      </w:pPr>
    </w:p>
    <w:p>
      <w:pPr>
        <w:ind w:left="544" w:hanging="544"/>
        <w:spacing w:after="0"/>
        <w:tabs>
          <w:tab w:leader="none" w:pos="544"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SCOPE OF JVCO EXCLUSIVE LICENSING CHANNEL</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Notwithstanding Clause 2, nothing in this Agreement shall prevent:</w:t>
      </w:r>
    </w:p>
    <w:p>
      <w:pPr>
        <w:spacing w:after="0" w:line="131" w:lineRule="exact"/>
        <w:rPr>
          <w:sz w:val="20"/>
          <w:szCs w:val="20"/>
          <w:color w:val="auto"/>
        </w:rPr>
      </w:pPr>
    </w:p>
    <w:p>
      <w:pPr>
        <w:ind w:left="1184" w:right="80" w:hanging="647"/>
        <w:spacing w:after="0" w:line="275" w:lineRule="auto"/>
        <w:tabs>
          <w:tab w:leader="none" w:pos="116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any member of the ARM Group from continuing to: (i) satisfy its obligations pursuant to any Transferring Contract that has not yet transferred in accordance with either Section 7.05 of the Investment Agreement or Clause 33; (ii) satisfy its obligations pursuant to any agreement with a PRC Licensee that exists as at the Effective Date that is not a Transferring Contract; or (iii) receive the benefit of any direct rights or undertakings granted to, or retained by, any member of the ARM Group by PRC Licensees as a result of the novation process referenced in Section 7.05 of the Investment Agreement and Clause 33;</w:t>
      </w:r>
    </w:p>
    <w:p>
      <w:pPr>
        <w:spacing w:after="0" w:line="82"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any member of the ARM Group from undertaking research or development activities (or entering into arrangements with third parties to undertake such activities on behalf of the ARM Group) in the PRC;</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any member of the ARM Group from granting worldwide, sub-licensable rights in the ARM IP to PRC Licensees for:</w:t>
      </w:r>
    </w:p>
    <w:p>
      <w:pPr>
        <w:spacing w:after="0" w:line="23"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(i) non-Commercial purposes; and (ii) Excluded Products;</w:t>
      </w:r>
    </w:p>
    <w:p>
      <w:pPr>
        <w:spacing w:after="0" w:line="116" w:lineRule="exact"/>
        <w:rPr>
          <w:sz w:val="20"/>
          <w:szCs w:val="20"/>
          <w:color w:val="auto"/>
        </w:rPr>
      </w:pPr>
    </w:p>
    <w:p>
      <w:pPr>
        <w:ind w:left="1184" w:right="180" w:hanging="647"/>
        <w:spacing w:after="0" w:line="277" w:lineRule="auto"/>
        <w:tabs>
          <w:tab w:leader="none" w:pos="1164"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color w:val="auto"/>
        </w:rPr>
        <w:t>any member of the ARM Group from licensing Intellectual Property to PRC Licensees pursuant to Direct Licensing Arrangements, in accordance with Clause 5;</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335" w:name="page336"/>
    <w:bookmarkEnd w:id="335"/>
    <w:p>
      <w:pPr>
        <w:ind w:left="1180" w:right="20" w:hanging="647"/>
        <w:spacing w:after="0" w:line="308"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7.1.5</w:t>
      </w:r>
      <w:r>
        <w:rPr>
          <w:sz w:val="20"/>
          <w:szCs w:val="20"/>
          <w:color w:val="auto"/>
        </w:rPr>
        <w:tab/>
      </w:r>
      <w:r>
        <w:rPr>
          <w:rFonts w:ascii="Arial" w:cs="Arial" w:eastAsia="Arial" w:hAnsi="Arial"/>
          <w:sz w:val="17"/>
          <w:szCs w:val="17"/>
          <w:color w:val="auto"/>
        </w:rPr>
        <w:t>any member of the ARM Group from granting sub-licensable rights to JVCo Licensed Products to Non-PRC Licensees, permitting such Non-PRC Licensees to conduct sub-licensing (including to PRC Licensees) in accordance with Clause 2.2; and</w:t>
      </w:r>
    </w:p>
    <w:p>
      <w:pPr>
        <w:spacing w:after="0" w:line="52" w:lineRule="exact"/>
        <w:rPr>
          <w:sz w:val="20"/>
          <w:szCs w:val="20"/>
          <w:color w:val="auto"/>
        </w:rPr>
      </w:pPr>
    </w:p>
    <w:p>
      <w:pPr>
        <w:ind w:left="1180" w:right="500" w:hanging="647"/>
        <w:spacing w:after="0" w:line="277" w:lineRule="auto"/>
        <w:tabs>
          <w:tab w:leader="none" w:pos="116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8"/>
          <w:szCs w:val="18"/>
          <w:color w:val="auto"/>
        </w:rPr>
        <w:t>any member of the ARM Group from providing services to the JVCo Group, or to PRC Licensees on behalf of JVCo, where such servicing arrangements have been agreed in writing between JVCo and ARM.</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Exclusive Interface with PRC Licensees for JVCo Licensed Products</w:t>
      </w:r>
    </w:p>
    <w:p>
      <w:pPr>
        <w:spacing w:after="0" w:line="131" w:lineRule="exact"/>
        <w:rPr>
          <w:sz w:val="20"/>
          <w:szCs w:val="20"/>
          <w:color w:val="auto"/>
        </w:rPr>
      </w:pPr>
    </w:p>
    <w:p>
      <w:pPr>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Subject to the other provisions of this Clause 7.2, JVCo shall be the exclusive interfacing channel with respect to PRC Licensees for any JVCo Licensed Products and Design Services, and ARM may not (without the prior written consent of JVCo, such consent not to be unreasonably withheld, delayed or conditioned) initiate direct contact with any PRC Licensee with respect to any JVCo Licensed Product and Design Services.</w:t>
      </w:r>
    </w:p>
    <w:p>
      <w:pPr>
        <w:spacing w:after="0" w:line="92" w:lineRule="exact"/>
        <w:rPr>
          <w:sz w:val="20"/>
          <w:szCs w:val="20"/>
          <w:color w:val="auto"/>
        </w:rPr>
      </w:pPr>
    </w:p>
    <w:p>
      <w:pPr>
        <w:ind w:left="1180" w:right="20" w:hanging="647"/>
        <w:spacing w:after="0" w:line="275" w:lineRule="auto"/>
        <w:tabs>
          <w:tab w:leader="none" w:pos="116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Subject to Clause 7.2.5, nothing in this Agreement shall prevent ARM from providing post-sales technical support to any PRC Licensee for a JVCo Licensed Product or Design Services, where that PRC Licensee has already entered into a license agreement with respect to that JVCo Licensed Product or Design Services either (a) with JVCo and that support is provided pursuant to the JV Services Agreement; (b) pursuant to a Transferring Contract that has not yet transferred in accordance with either Section 7.05 of the Investment Agreement or Clause 33; or (c) pursuant to an agreement that is not a Transferring Contract.</w:t>
      </w:r>
    </w:p>
    <w:p>
      <w:pPr>
        <w:spacing w:after="0" w:line="82" w:lineRule="exact"/>
        <w:rPr>
          <w:sz w:val="20"/>
          <w:szCs w:val="20"/>
          <w:color w:val="auto"/>
        </w:rPr>
      </w:pPr>
    </w:p>
    <w:p>
      <w:pPr>
        <w:ind w:left="1180" w:right="80" w:hanging="647"/>
        <w:spacing w:after="0" w:line="259" w:lineRule="auto"/>
        <w:tabs>
          <w:tab w:leader="none" w:pos="116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The Parties acknowledge and agree that, subject to Clause 7.2.5, there will be circumstances where ARM will reasonably require direct engagement with PRC Licensees (and PRC Licensees will require direct engagement with ARM) to facilitate the development and receipt of ARM Product and Market Data. JVCo (acting in good faith) will not hinder or frustrate ARM from engaging with PRC Licensees for such purposes.</w:t>
      </w:r>
    </w:p>
    <w:p>
      <w:pPr>
        <w:spacing w:after="0" w:line="92" w:lineRule="exact"/>
        <w:rPr>
          <w:sz w:val="20"/>
          <w:szCs w:val="20"/>
          <w:color w:val="auto"/>
        </w:rPr>
      </w:pPr>
    </w:p>
    <w:p>
      <w:pPr>
        <w:ind w:left="1180" w:right="60" w:hanging="647"/>
        <w:spacing w:after="0" w:line="270" w:lineRule="auto"/>
        <w:tabs>
          <w:tab w:leader="none" w:pos="116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7"/>
          <w:szCs w:val="17"/>
          <w:color w:val="auto"/>
        </w:rPr>
        <w:t>Notwithstanding Clause 7.2.1, without JVCo’s consent, ARM may engage directly with an IPG Ecosystem Partner solely to directly support that IPG Ecosystem Partner’s development of software that supports ARM Semiconductor Technology. ARM shall make JVCo aware of all such engagements. Where the IPG Ecosystem Partner is using one or more integrated circuit products based on ARM Semiconductor Technology, which integrated circuit products are provided to that IPG Ecosystem Partner by a PRC Licensee that has either: (i) a license from JVCo in respect of those integrated circuit products; or (ii) a license from ARM in respect of those integrated circuit products pursuant to a Transferring Contract (whether that Transferring Contract will be novated to JVCo or not), ARM shall provide JVCo with the opportunity to be involved with all such engagements with that IPG Ecosystem Partner. ARM’s failure to provide JVCo with the opportunity to be involved with an engagement with an IPG Ecosystem Partner shall not be deemed a breach of this Clause 7.2.4 if it is initially reasonably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336" w:name="page337"/>
    <w:bookmarkEnd w:id="336"/>
    <w:p>
      <w:pPr>
        <w:ind w:left="12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impracticable to involve JVCo in such engagement due to the nature of such engagement (for example, an unplanned engagement at an industry event or conference), in which case ARM shall remain obliged to provide JVCo with the opportunity to be involved with all subsequent engagements with that IPG Ecosystem Partner.</w:t>
      </w:r>
    </w:p>
    <w:p>
      <w:pPr>
        <w:spacing w:after="0" w:line="89" w:lineRule="exact"/>
        <w:rPr>
          <w:sz w:val="20"/>
          <w:szCs w:val="20"/>
          <w:color w:val="auto"/>
        </w:rPr>
      </w:pPr>
    </w:p>
    <w:p>
      <w:pPr>
        <w:ind w:left="1180" w:right="60" w:hanging="647"/>
        <w:spacing w:after="0" w:line="257" w:lineRule="auto"/>
        <w:tabs>
          <w:tab w:leader="none" w:pos="1160" w:val="left"/>
        </w:tabs>
        <w:rPr>
          <w:sz w:val="20"/>
          <w:szCs w:val="20"/>
          <w:color w:val="auto"/>
        </w:rPr>
      </w:pPr>
      <w:r>
        <w:rPr>
          <w:rFonts w:ascii="Arial" w:cs="Arial" w:eastAsia="Arial" w:hAnsi="Arial"/>
          <w:sz w:val="18"/>
          <w:szCs w:val="18"/>
          <w:color w:val="auto"/>
        </w:rPr>
        <w:t>7.2.5</w:t>
      </w:r>
      <w:r>
        <w:rPr>
          <w:sz w:val="20"/>
          <w:szCs w:val="20"/>
          <w:color w:val="auto"/>
        </w:rPr>
        <w:tab/>
      </w:r>
      <w:r>
        <w:rPr>
          <w:rFonts w:ascii="Arial" w:cs="Arial" w:eastAsia="Arial" w:hAnsi="Arial"/>
          <w:sz w:val="18"/>
          <w:szCs w:val="18"/>
          <w:color w:val="auto"/>
        </w:rPr>
        <w:t>Prior to the Effective Date, the Parties will consult in good faith and agree upon a set of operating principles to facilitate direct engagement and co-ordination (i) between ARM and PRC Licensees with respect to JVCo Licensed Products and Design Services (including with respect to the direct engagement described in Clause 7.2.2 and Clause 7.2.3) whilst still providing appropriate oversight for, and involvement of, JVCo; and (ii) between ARM and IPG Ecosystem Partners with respect to the direct engagement described in Clause 7.2.4.</w:t>
      </w:r>
    </w:p>
    <w:p>
      <w:pPr>
        <w:spacing w:after="0" w:line="93" w:lineRule="exact"/>
        <w:rPr>
          <w:sz w:val="20"/>
          <w:szCs w:val="20"/>
          <w:color w:val="auto"/>
        </w:rPr>
      </w:pPr>
    </w:p>
    <w:p>
      <w:pPr>
        <w:ind w:left="540" w:right="40" w:hanging="539"/>
        <w:spacing w:after="0" w:line="311"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Except as expressly licensed in accordance with this Agreement, JVCo acquires no right, title or interest in any Confidential Information of the ARM Group, ARM Semiconductor Technology or any Intellectual Property of the ARM Group and, to the extent permissible under Applicable Law, all implied licenses are excluded. JVCo shall not use or exploit the ARM Licensed IP except as expressly authorised under this Agreement.</w:t>
      </w:r>
    </w:p>
    <w:p>
      <w:pPr>
        <w:spacing w:after="0" w:line="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DSG Tools</w:t>
      </w:r>
    </w:p>
    <w:p>
      <w:pPr>
        <w:spacing w:after="0" w:line="131" w:lineRule="exact"/>
        <w:rPr>
          <w:sz w:val="20"/>
          <w:szCs w:val="20"/>
          <w:color w:val="auto"/>
        </w:rPr>
      </w:pPr>
    </w:p>
    <w:p>
      <w:pPr>
        <w:ind w:left="1180" w:hanging="647"/>
        <w:spacing w:after="0" w:line="301" w:lineRule="auto"/>
        <w:tabs>
          <w:tab w:leader="none" w:pos="116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6"/>
          <w:szCs w:val="16"/>
          <w:color w:val="auto"/>
        </w:rPr>
        <w:t>Notwithstanding any other provision of this Agreement, the Parties acknowledge and agree that, unless otherwise agreed between the Parties, JVCo shall not license the DSG Tools to PRC Licensees and the DSG Tools shall, instead, continue to be licensed to PRC Licensees by ARM directly in accordance with the distribution model described at Clauses 7.4.2 to 7.4.4 below, and where requested by either Party, the Parties shall enter into a separate distribution agreement setting out further details on the arrangements described below.</w:t>
      </w:r>
    </w:p>
    <w:p>
      <w:pPr>
        <w:spacing w:after="0" w:line="63" w:lineRule="exact"/>
        <w:rPr>
          <w:sz w:val="20"/>
          <w:szCs w:val="20"/>
          <w:color w:val="auto"/>
        </w:rPr>
      </w:pPr>
    </w:p>
    <w:p>
      <w:pPr>
        <w:ind w:left="1180" w:right="20" w:hanging="647"/>
        <w:spacing w:after="0" w:line="259" w:lineRule="auto"/>
        <w:tabs>
          <w:tab w:leader="none" w:pos="116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8"/>
          <w:szCs w:val="18"/>
          <w:color w:val="auto"/>
        </w:rPr>
        <w:t>JVCo shall act as a distributor in relation to the licensing of DSG Tools to PRC Licensees. As part of that arrangement, JVCo shall have the right to market the DSG Tools to PRC Licensees and provide to PRC Licensees license keys to facilitate access to the DSG Tools. Notwithstanding the foregoing, the license agreement granted to PRC Licensees in relation to DSG Tools shall be granted by ARM directly to such PRC Licensees (on a click-through basis).</w:t>
      </w:r>
    </w:p>
    <w:p>
      <w:pPr>
        <w:spacing w:after="0" w:line="92" w:lineRule="exact"/>
        <w:rPr>
          <w:sz w:val="20"/>
          <w:szCs w:val="20"/>
          <w:color w:val="auto"/>
        </w:rPr>
      </w:pPr>
    </w:p>
    <w:p>
      <w:pPr>
        <w:ind w:left="1180" w:right="80" w:hanging="647"/>
        <w:spacing w:after="0" w:line="263" w:lineRule="auto"/>
        <w:tabs>
          <w:tab w:leader="none" w:pos="116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8"/>
          <w:szCs w:val="18"/>
          <w:color w:val="auto"/>
        </w:rPr>
        <w:t>Where there is a reasonable business need, JVCo shall enter into a separate pricing agreement relating to a PRC Licensee’s use of DSG Tools (including with respect to the PRC Licensee’s volume commitments in relation to such tools and the pricing of such arrangements) in accordance with the relevant ARM Model License.</w:t>
      </w:r>
    </w:p>
    <w:p>
      <w:pPr>
        <w:spacing w:after="0" w:line="89" w:lineRule="exact"/>
        <w:rPr>
          <w:sz w:val="20"/>
          <w:szCs w:val="20"/>
          <w:color w:val="auto"/>
        </w:rPr>
      </w:pPr>
    </w:p>
    <w:p>
      <w:pPr>
        <w:ind w:left="1180" w:right="60" w:hanging="647"/>
        <w:spacing w:after="0" w:line="311" w:lineRule="auto"/>
        <w:tabs>
          <w:tab w:leader="none" w:pos="1160" w:val="left"/>
        </w:tabs>
        <w:rPr>
          <w:sz w:val="20"/>
          <w:szCs w:val="20"/>
          <w:color w:val="auto"/>
        </w:rPr>
      </w:pPr>
      <w:r>
        <w:rPr>
          <w:rFonts w:ascii="Arial" w:cs="Arial" w:eastAsia="Arial" w:hAnsi="Arial"/>
          <w:sz w:val="18"/>
          <w:szCs w:val="18"/>
          <w:color w:val="auto"/>
        </w:rPr>
        <w:t>7.4.4</w:t>
      </w:r>
      <w:r>
        <w:rPr>
          <w:sz w:val="20"/>
          <w:szCs w:val="20"/>
          <w:color w:val="auto"/>
        </w:rPr>
        <w:tab/>
      </w:r>
      <w:r>
        <w:rPr>
          <w:rFonts w:ascii="Arial" w:cs="Arial" w:eastAsia="Arial" w:hAnsi="Arial"/>
          <w:sz w:val="16"/>
          <w:szCs w:val="16"/>
          <w:color w:val="auto"/>
        </w:rPr>
        <w:t>The Parties acknowledge and agree that, in order to effect the distribution model, JVCo shall request license keys from ARM and JVCo shall pay the fixed license fee (as set out in the ARM-JVCo Price Book) to ARM in consideration for each license key. All amounts payable by PRC Licensees in consideration for their licensing of DSG Tools shall be paid directly to JVCo and the amounts payable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337" w:name="page338"/>
    <w:bookmarkEnd w:id="337"/>
    <w:p>
      <w:pPr>
        <w:ind w:left="120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PRC Licensees to JVCo in consideration for the license keys shall not affect the fixed license fee payable by JVCo in consideration for each license key. The invoicing and payment terms for such license key payments shall be included in the distribution agreement agreed between the Parties (and such amounts shall be deemed to be JVCo Charges (and, specifically, License Fees payable by PRC Licensees to JVCo) for the purposes of Clause 20).</w:t>
      </w:r>
    </w:p>
    <w:p>
      <w:pPr>
        <w:spacing w:after="0" w:line="88" w:lineRule="exact"/>
        <w:rPr>
          <w:sz w:val="20"/>
          <w:szCs w:val="20"/>
          <w:color w:val="auto"/>
        </w:rPr>
      </w:pPr>
    </w:p>
    <w:p>
      <w:pPr>
        <w:ind w:left="544" w:hanging="544"/>
        <w:spacing w:after="0"/>
        <w:tabs>
          <w:tab w:leader="none" w:pos="544"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EXPORT CONTROL AND RELATED RESTRICTIONS</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ARM Semiconductor Technology licensed under this Agreement may be subject to the export control regulations of the United Kingdom, United States and other countries. JVCo agrees to comply fully with all applicable export control laws and regulations, including those of the United Kingdom, the United States (including the U.S. Export Administration Act and its associated regulations (“</w:t>
      </w:r>
      <w:r>
        <w:rPr>
          <w:rFonts w:ascii="Arial" w:cs="Arial" w:eastAsia="Arial" w:hAnsi="Arial"/>
          <w:sz w:val="18"/>
          <w:szCs w:val="18"/>
          <w:b w:val="1"/>
          <w:bCs w:val="1"/>
          <w:color w:val="auto"/>
        </w:rPr>
        <w:t>EAA</w:t>
      </w:r>
      <w:r>
        <w:rPr>
          <w:rFonts w:ascii="Arial" w:cs="Arial" w:eastAsia="Arial" w:hAnsi="Arial"/>
          <w:sz w:val="18"/>
          <w:szCs w:val="18"/>
          <w:color w:val="auto"/>
        </w:rPr>
        <w:t>”)) and the trade and economic sanctions regulations administered by the Department of Treasury’s Office of Foreign Assets Controls (“</w:t>
      </w:r>
      <w:r>
        <w:rPr>
          <w:rFonts w:ascii="Arial" w:cs="Arial" w:eastAsia="Arial" w:hAnsi="Arial"/>
          <w:sz w:val="18"/>
          <w:szCs w:val="18"/>
          <w:b w:val="1"/>
          <w:bCs w:val="1"/>
          <w:color w:val="auto"/>
        </w:rPr>
        <w:t>OFAC</w:t>
      </w:r>
      <w:r>
        <w:rPr>
          <w:rFonts w:ascii="Arial" w:cs="Arial" w:eastAsia="Arial" w:hAnsi="Arial"/>
          <w:sz w:val="18"/>
          <w:szCs w:val="18"/>
          <w:color w:val="auto"/>
        </w:rPr>
        <w:t>”), and of any other applicable jurisdiction (collectively, the “</w:t>
      </w:r>
      <w:r>
        <w:rPr>
          <w:rFonts w:ascii="Arial" w:cs="Arial" w:eastAsia="Arial" w:hAnsi="Arial"/>
          <w:sz w:val="18"/>
          <w:szCs w:val="18"/>
          <w:b w:val="1"/>
          <w:bCs w:val="1"/>
          <w:color w:val="auto"/>
        </w:rPr>
        <w:t>Export Laws</w:t>
      </w:r>
      <w:r>
        <w:rPr>
          <w:rFonts w:ascii="Arial" w:cs="Arial" w:eastAsia="Arial" w:hAnsi="Arial"/>
          <w:sz w:val="18"/>
          <w:szCs w:val="18"/>
          <w:color w:val="auto"/>
        </w:rPr>
        <w:t>”) to assure that neither the ARM Semiconductor Technology, nor any derivative products thereof are exported by JVCo in violation of Export Laws.</w:t>
      </w:r>
    </w:p>
    <w:p>
      <w:pPr>
        <w:spacing w:after="0" w:line="98"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Without limiting the foregoing, JVCo agrees that it will not export the ARM Semiconductor Technology or any derivative products thereof, directly or indirectly:</w:t>
      </w:r>
    </w:p>
    <w:p>
      <w:pPr>
        <w:spacing w:after="0" w:line="76" w:lineRule="exact"/>
        <w:rPr>
          <w:sz w:val="20"/>
          <w:szCs w:val="20"/>
          <w:color w:val="auto"/>
        </w:rPr>
      </w:pPr>
    </w:p>
    <w:p>
      <w:pPr>
        <w:ind w:left="1184" w:right="300" w:hanging="647"/>
        <w:spacing w:after="0" w:line="277" w:lineRule="auto"/>
        <w:tabs>
          <w:tab w:leader="none" w:pos="1164"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to any countries subject to a comprehensive embargo by the United States (currently Iran, Syria, Cuba, North Korea, Sudan, and the Crimean region of the Ukraine);</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to any Prohibited Person;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for any end use that is prohibited under the EAR, including Part 744 (15 C.F.R. Part 744 (2017)); and</w:t>
      </w:r>
    </w:p>
    <w:p>
      <w:pPr>
        <w:spacing w:after="0" w:line="131" w:lineRule="exact"/>
        <w:rPr>
          <w:sz w:val="20"/>
          <w:szCs w:val="20"/>
          <w:color w:val="auto"/>
        </w:rPr>
      </w:pPr>
    </w:p>
    <w:p>
      <w:pPr>
        <w:ind w:left="1184" w:right="120" w:hanging="647"/>
        <w:spacing w:after="0" w:line="277" w:lineRule="auto"/>
        <w:tabs>
          <w:tab w:leader="none" w:pos="1164"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8"/>
          <w:szCs w:val="18"/>
          <w:color w:val="auto"/>
        </w:rPr>
        <w:t>to any person if JVCo has reason to believe that person will divert the ARM Semiconductor Technology or derivative products thereof to or for the benefit of any of the foregoing.</w:t>
      </w:r>
    </w:p>
    <w:p>
      <w:pPr>
        <w:spacing w:after="0" w:line="76" w:lineRule="exact"/>
        <w:rPr>
          <w:sz w:val="20"/>
          <w:szCs w:val="20"/>
          <w:color w:val="auto"/>
        </w:rPr>
      </w:pPr>
    </w:p>
    <w:p>
      <w:pPr>
        <w:ind w:left="544" w:right="200" w:hanging="539"/>
        <w:spacing w:after="0" w:line="275"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ARM shall provide JVCo with written confirmation of the export control classification number or ECCN of the ARM Semiconductor Technology prior to its export or transfer to JVCO and for any derivative products developed by or sold by JVCo prior to any export by JVCo. The written confirmation shall include a summary of the license requirements under the applicable Export Laws for the ECCNs of the ARM Semiconductor Technology and derivative products. To the extent that a license is required for the export of the ARM Semiconductor Technology to JVCo, then, ARM will have the right not to export or license the technology to JVCo.</w:t>
      </w:r>
    </w:p>
    <w:p>
      <w:pPr>
        <w:spacing w:after="0" w:line="82"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JVCo shall obtain a written assurance from each PRC Licensee to whom JVCo licenses, sells or otherwise makes available any JVCo Licensed Products that the PRC Licensee shall:</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338" w:name="page339"/>
    <w:bookmarkEnd w:id="338"/>
    <w:p>
      <w:pPr>
        <w:ind w:left="1184" w:right="80" w:hanging="647"/>
        <w:spacing w:after="0" w:line="275"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8.4.1</w:t>
      </w:r>
      <w:r>
        <w:rPr>
          <w:sz w:val="20"/>
          <w:szCs w:val="20"/>
          <w:color w:val="auto"/>
        </w:rPr>
        <w:tab/>
      </w:r>
      <w:r>
        <w:rPr>
          <w:rFonts w:ascii="Arial" w:cs="Arial" w:eastAsia="Arial" w:hAnsi="Arial"/>
          <w:sz w:val="17"/>
          <w:szCs w:val="17"/>
          <w:color w:val="auto"/>
        </w:rPr>
        <w:t>not export, re-export, or transfer any JVCo Licensed Products (a): to any countries that are subject to embargoes (currently Iran, Syria, North Korea, Cuba, Sudan, and the Crimean region of the Ukraine), (b) to any Prohibited Person, (c) to any end user who is owned or controlled by an individual person or entity to whom exports are prohibited under any Export Law, (d) for any end use prohibited by Export Laws, including, without limitation, nuclear, chemical, or biological weapons proliferation, or (e) to any country for which an export license is required without first obtaining the license from the applicable governmental agency; and</w:t>
      </w:r>
    </w:p>
    <w:p>
      <w:pPr>
        <w:spacing w:after="0" w:line="82" w:lineRule="exact"/>
        <w:rPr>
          <w:sz w:val="20"/>
          <w:szCs w:val="20"/>
          <w:color w:val="auto"/>
        </w:rPr>
      </w:pPr>
    </w:p>
    <w:p>
      <w:pPr>
        <w:ind w:left="1184" w:right="320" w:hanging="647"/>
        <w:spacing w:after="0" w:line="277" w:lineRule="auto"/>
        <w:tabs>
          <w:tab w:leader="none" w:pos="1164"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8"/>
          <w:szCs w:val="18"/>
          <w:color w:val="auto"/>
        </w:rPr>
        <w:t>refrain from taking any actions in connection with JVCo Licensed Products that would cause JVCo or any member of the Enlarged ARM Group to be in contravention of any Export Laws.</w:t>
      </w:r>
    </w:p>
    <w:p>
      <w:pPr>
        <w:spacing w:after="0" w:line="76"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In the event that JVCo knows or has reason to know of a breach of the Export Laws or of the written assurance as set forth in Clause 8.4, JVCo shall promptly notify ARM of the breach by a PRC Licensee. [***]</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544" w:hanging="544"/>
        <w:spacing w:after="0"/>
        <w:tabs>
          <w:tab w:leader="none" w:pos="544"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USE OF ARM BRAND TRADE MARKS</w:t>
      </w:r>
    </w:p>
    <w:p>
      <w:pPr>
        <w:spacing w:after="0" w:line="135"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JVCo shall use the ARM Brand Trade Marks with respect to the Original ARM Products, the Mutual Roadmap Derivative Products and the ARM Derivative Products in the same manner as ARM uses such ARM Brand Trade Marks with respect to its own products. JVCo shall not use any branding other than the ARM Brand Trade Marks with respect to the Original ARM Products, the Mutual Roadmap Derivative Products or the ARM Derivative Products.</w:t>
      </w:r>
    </w:p>
    <w:p>
      <w:pPr>
        <w:spacing w:after="0" w:line="92" w:lineRule="exact"/>
        <w:rPr>
          <w:sz w:val="20"/>
          <w:szCs w:val="20"/>
          <w:color w:val="auto"/>
        </w:rPr>
      </w:pPr>
    </w:p>
    <w:p>
      <w:pPr>
        <w:ind w:left="544" w:right="260" w:hanging="539"/>
        <w:spacing w:after="0" w:line="259"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JVCo shall not use the ARM Brand Trade Marks to identify, market, promote, or otherwise in relation to the licensing of, Other Derivative Products or Independent Products without the prior written consent of ARM, provided that nothing in this Clause 9 shall prevent JVCo from using the Company Name in Latin characters and simplified Chinese characters, along with any logo that relates exclusively to the Company Name.</w:t>
      </w:r>
    </w:p>
    <w:p>
      <w:pPr>
        <w:spacing w:after="0" w:line="92" w:lineRule="exact"/>
        <w:rPr>
          <w:sz w:val="20"/>
          <w:szCs w:val="20"/>
          <w:color w:val="auto"/>
        </w:rPr>
      </w:pPr>
    </w:p>
    <w:p>
      <w:pPr>
        <w:ind w:left="544" w:right="20" w:hanging="539"/>
        <w:spacing w:after="0" w:line="293"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Notwithstanding JVCo’s rights under Clause 9.1 and the granting of any consents pursuant to Clause 9.2, the use of product names and numbers by JVCo with respect to Derivative Products and Independent Products (to the extent that such Independent Products are branded with ARM Brand Trade Marks) shall be subject to agreement by the Roadmap Committee (in the case of Derivative Products) and ARM (in the case of Independent Products), in order to ensure that the naming and numbering convention used with respect to any such products is not inconsistent with ARM’s approach to the naming and numbering of Original ARM Products and ARM Derivative Products (to the extent that such an ARM Derivative Product is derived from an Independent Product or a Derivative Product that is branded with an ARM Brand Trade Mark).</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4"/>
          </w:cols>
          <w:pgMar w:left="436" w:top="274" w:right="519" w:bottom="1440" w:gutter="0" w:footer="0" w:header="0"/>
        </w:sectPr>
      </w:pPr>
    </w:p>
    <w:bookmarkStart w:id="339" w:name="page340"/>
    <w:bookmarkEnd w:id="339"/>
    <w:p>
      <w:pPr>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9.4</w:t>
      </w:r>
      <w:r>
        <w:rPr>
          <w:sz w:val="20"/>
          <w:szCs w:val="20"/>
          <w:color w:val="auto"/>
        </w:rPr>
        <w:tab/>
      </w:r>
      <w:r>
        <w:rPr>
          <w:rFonts w:ascii="Arial" w:cs="Arial" w:eastAsia="Arial" w:hAnsi="Arial"/>
          <w:sz w:val="18"/>
          <w:szCs w:val="18"/>
          <w:color w:val="auto"/>
        </w:rPr>
        <w:t>JVCo shall use the ARM Brand Trade Marks in accordance with the Use Guidelines. ARM shall have the right to revise the Use Guidelines at any time and any such revisions shall be effective with respect to printed materials and products to be produced after [***] days from receipt of ARM’s written notice specifying the revisions to JVCo.</w:t>
      </w:r>
    </w:p>
    <w:p>
      <w:pPr>
        <w:spacing w:after="0" w:line="89" w:lineRule="exact"/>
        <w:rPr>
          <w:sz w:val="20"/>
          <w:szCs w:val="20"/>
          <w:color w:val="auto"/>
        </w:rPr>
      </w:pPr>
    </w:p>
    <w:p>
      <w:pPr>
        <w:ind w:left="540" w:right="60" w:hanging="539"/>
        <w:spacing w:after="0" w:line="257" w:lineRule="auto"/>
        <w:tabs>
          <w:tab w:leader="none" w:pos="5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Upon reasonable request from ARM, JVCo shall submit samples of documentation, packaging, and promotional or advertising materials bearing the ARM Brand Trade Marks to ARM so that ARM may verify compliance with the Use Guidelines. In the event that any documentation, packaging, promotional or advertising material fails to comply with the Use Guidelines, ARM shall notify JVCo and JVCo shall rectify such documentation, packaging, and promotional or advertising materials so as to comply with the Use Guidelines and cease using any such non-compliant materials as soon as reasonably possible after the date of ARM’s notice.</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JVCo shall not do, or omit to do, or permit to be done, any act which will:</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6"/>
          <w:szCs w:val="16"/>
          <w:color w:val="auto"/>
        </w:rPr>
        <w:t>allow the ARM Brand Trade Marks to become generic;</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6"/>
          <w:szCs w:val="16"/>
          <w:color w:val="auto"/>
        </w:rPr>
        <w:t>cause the ARM Brand Trade Marks to lose their distinctiveness;</w:t>
      </w:r>
    </w:p>
    <w:p>
      <w:pPr>
        <w:spacing w:after="0" w:line="131" w:lineRule="exact"/>
        <w:rPr>
          <w:sz w:val="20"/>
          <w:szCs w:val="20"/>
          <w:color w:val="auto"/>
        </w:rPr>
      </w:pPr>
    </w:p>
    <w:p>
      <w:pPr>
        <w:ind w:left="1180" w:right="100" w:hanging="647"/>
        <w:spacing w:after="0" w:line="277" w:lineRule="auto"/>
        <w:tabs>
          <w:tab w:leader="none" w:pos="1160" w:val="left"/>
        </w:tabs>
        <w:rPr>
          <w:sz w:val="20"/>
          <w:szCs w:val="20"/>
          <w:color w:val="auto"/>
        </w:rPr>
      </w:pPr>
      <w:r>
        <w:rPr>
          <w:rFonts w:ascii="Arial" w:cs="Arial" w:eastAsia="Arial" w:hAnsi="Arial"/>
          <w:sz w:val="18"/>
          <w:szCs w:val="18"/>
          <w:color w:val="auto"/>
        </w:rPr>
        <w:t>9.6.3</w:t>
      </w:r>
      <w:r>
        <w:rPr>
          <w:sz w:val="20"/>
          <w:szCs w:val="20"/>
          <w:color w:val="auto"/>
        </w:rPr>
        <w:tab/>
      </w:r>
      <w:r>
        <w:rPr>
          <w:rFonts w:ascii="Arial" w:cs="Arial" w:eastAsia="Arial" w:hAnsi="Arial"/>
          <w:sz w:val="18"/>
          <w:szCs w:val="18"/>
          <w:color w:val="auto"/>
        </w:rPr>
        <w:t>invalidate any existing registrations of the ARM Brand Trade Marks (provided that this Clause 9.6.3 shall only take effect to the extent permitted by Applicable Law);</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9.6.4</w:t>
      </w:r>
      <w:r>
        <w:rPr>
          <w:sz w:val="20"/>
          <w:szCs w:val="20"/>
          <w:color w:val="auto"/>
        </w:rPr>
        <w:tab/>
      </w:r>
      <w:r>
        <w:rPr>
          <w:rFonts w:ascii="Arial" w:cs="Arial" w:eastAsia="Arial" w:hAnsi="Arial"/>
          <w:sz w:val="16"/>
          <w:szCs w:val="16"/>
          <w:color w:val="auto"/>
        </w:rPr>
        <w:t>prejudice any future registrations or applications of the ARM Brand Trade Marks; or</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9.6.5</w:t>
      </w:r>
      <w:r>
        <w:rPr>
          <w:sz w:val="20"/>
          <w:szCs w:val="20"/>
          <w:color w:val="auto"/>
        </w:rPr>
        <w:tab/>
      </w:r>
      <w:r>
        <w:rPr>
          <w:rFonts w:ascii="Arial" w:cs="Arial" w:eastAsia="Arial" w:hAnsi="Arial"/>
          <w:sz w:val="16"/>
          <w:szCs w:val="16"/>
          <w:color w:val="auto"/>
        </w:rPr>
        <w:t>be materially detrimental to or inconsistent with the good name, goodwill, reputation or image of ARM.</w:t>
      </w:r>
    </w:p>
    <w:p>
      <w:pPr>
        <w:spacing w:after="0" w:line="131"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JVCo shall provide reasonable assistance to ARM in maintaining the validity of the ARM Brand Trade Marks and in relation to any enforcement matters relating to the ARM Brand Trade Marks in the PRC. Upon reasonable request by ARM, JVCo shall provide a reasonable number of samples of the use of the ARM Brand Trade Marks for the purpose of Trade Mark registration or renewal, copies of relevant materials produced by JVCo or the PRC Licensees or provide ARM with any other reasonable assistance or evidence and execute any documents requested by ARM or required by Applicable Law for the purpose of registering, maintaining and enforcing the ARM Brand Trade Marks. Each of the foregoing shall be provided at ARM’s sole cost.</w:t>
      </w:r>
    </w:p>
    <w:p>
      <w:pPr>
        <w:spacing w:after="0" w:line="98"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Except as provided by the terms of this Agreement, JVCo shall not, without ARM’s prior written consent, use, register or attempt to register in any jurisdiction in JVCo’s own name, or in any other name, any term, Trade Mark, service mark, device, logo, slogan, product name, service name, technology name, trade dress, company name, corporate name, business name, trade name, social media name or handle, domain name, or any word or mark which: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340" w:name="page341"/>
    <w:bookmarkEnd w:id="340"/>
    <w:p>
      <w:pPr>
        <w:ind w:left="1184" w:right="100" w:hanging="647"/>
        <w:spacing w:after="0" w:line="308"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9.8.1</w:t>
      </w:r>
      <w:r>
        <w:rPr>
          <w:sz w:val="20"/>
          <w:szCs w:val="20"/>
          <w:color w:val="auto"/>
        </w:rPr>
        <w:tab/>
      </w:r>
      <w:r>
        <w:rPr>
          <w:rFonts w:ascii="Arial" w:cs="Arial" w:eastAsia="Arial" w:hAnsi="Arial"/>
          <w:sz w:val="17"/>
          <w:szCs w:val="17"/>
          <w:color w:val="auto"/>
        </w:rPr>
        <w:t>is confusingly similar to any of the ARM Brand Trade Marks or any product name, service name, technology name or other name used by JVCo in relation to any Original ARM Products or any ARM Derivative Products under this Agreement; or</w:t>
      </w:r>
    </w:p>
    <w:p>
      <w:pPr>
        <w:spacing w:after="0" w:line="52"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9.8.2</w:t>
      </w:r>
      <w:r>
        <w:rPr>
          <w:sz w:val="20"/>
          <w:szCs w:val="20"/>
          <w:color w:val="auto"/>
        </w:rPr>
        <w:tab/>
      </w:r>
      <w:r>
        <w:rPr>
          <w:rFonts w:ascii="Arial" w:cs="Arial" w:eastAsia="Arial" w:hAnsi="Arial"/>
          <w:sz w:val="18"/>
          <w:szCs w:val="18"/>
          <w:color w:val="auto"/>
        </w:rPr>
        <w:t>is dilutive of, renders generic, takes unfair advantage of, or is detrimental to the distinctive character or repute of any of the ARM Brand Trade Marks.</w:t>
      </w:r>
    </w:p>
    <w:p>
      <w:pPr>
        <w:spacing w:after="0" w:line="76" w:lineRule="exact"/>
        <w:rPr>
          <w:sz w:val="20"/>
          <w:szCs w:val="20"/>
          <w:color w:val="auto"/>
        </w:rPr>
      </w:pPr>
    </w:p>
    <w:p>
      <w:pPr>
        <w:ind w:left="544" w:right="420" w:hanging="539"/>
        <w:spacing w:after="0" w:line="259" w:lineRule="auto"/>
        <w:tabs>
          <w:tab w:leader="none" w:pos="524"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In the event that JVCo wishes to secure any domain name registration which Clause 9.8 prohibits JVCo from registering, JVCo shall notify ARM of the relevant domain name(s) and ARM shall use its reasonable endeavours to secure such registrations (in ARM’s name). Upon securing such domain name registration(s), such domain name(s) shall be automatically included in the license grant under Clause 3.3 at no additional cost to JVCo.</w:t>
      </w:r>
    </w:p>
    <w:p>
      <w:pPr>
        <w:spacing w:after="0" w:line="92"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9.10</w:t>
        <w:tab/>
        <w:t>Save as otherwise explicitly granted pursuant to this Agreement, JVCo shall not have any ownership, interest or goodwill in or associated with the ARM Brand Trade Marks arising from the operation of this Agreement. In no event shall the license of ARM Brand Trade Marks granted pursuant to this Agreement be construed as granting JVCo, expressly or by implication, estoppel or otherwise, a license to use any Trade Mark of the ARM Group other than the ARM Brand Trade Marks.</w:t>
      </w:r>
    </w:p>
    <w:p>
      <w:pPr>
        <w:spacing w:after="0" w:line="92"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Any and all goodwill arising from the exploitation of the ARM Brand Trade Marks by JVCo and any of the PRC Licensees shall automatically be assigned absolutely with full title guarantee to ARM. Where such assignment does not take effect automatically, JVCo shall (and shall procure that the PRC Licensees shall) enter into an assignment agreement to effect that assignment. Upon request, JVCo shall execute any documents required by Applicable Law for the purpose of confirming the assignment of any goodwill to ARM, which is owned by ARM exclusively.</w:t>
      </w:r>
    </w:p>
    <w:p>
      <w:pPr>
        <w:spacing w:after="0" w:line="63" w:lineRule="exact"/>
        <w:rPr>
          <w:sz w:val="20"/>
          <w:szCs w:val="20"/>
          <w:color w:val="auto"/>
        </w:rPr>
      </w:pPr>
    </w:p>
    <w:p>
      <w:pPr>
        <w:jc w:val="both"/>
        <w:ind w:left="544" w:right="400" w:hanging="539"/>
        <w:spacing w:after="0" w:line="263" w:lineRule="auto"/>
        <w:tabs>
          <w:tab w:leader="none" w:pos="524" w:val="left"/>
        </w:tabs>
        <w:rPr>
          <w:sz w:val="20"/>
          <w:szCs w:val="20"/>
          <w:color w:val="auto"/>
        </w:rPr>
      </w:pPr>
      <w:r>
        <w:rPr>
          <w:rFonts w:ascii="Arial" w:cs="Arial" w:eastAsia="Arial" w:hAnsi="Arial"/>
          <w:sz w:val="18"/>
          <w:szCs w:val="18"/>
          <w:color w:val="auto"/>
        </w:rPr>
        <w:t>9.12</w:t>
        <w:tab/>
        <w:t>If JVCo becomes aware of: (i) any application to register a Trade Mark which may be confusingly similar to or otherwise damage the ARM Brand Trade Marks; or (ii) any potential third party infringement of any ARM Brand Trade Mark, JVCo shall use commercially reasonable efforts to notify ARM in writing and provide relevant information.</w:t>
      </w:r>
    </w:p>
    <w:p>
      <w:pPr>
        <w:spacing w:after="0" w:line="85" w:lineRule="exact"/>
        <w:rPr>
          <w:sz w:val="20"/>
          <w:szCs w:val="20"/>
          <w:color w:val="auto"/>
        </w:rPr>
      </w:pPr>
    </w:p>
    <w:p>
      <w:pPr>
        <w:ind w:left="544" w:hanging="544"/>
        <w:spacing w:after="0"/>
        <w:tabs>
          <w:tab w:leader="none" w:pos="54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NOTICES</w:t>
      </w:r>
    </w:p>
    <w:p>
      <w:pPr>
        <w:spacing w:after="0" w:line="135" w:lineRule="exact"/>
        <w:rPr>
          <w:sz w:val="20"/>
          <w:szCs w:val="20"/>
          <w:color w:val="auto"/>
        </w:rPr>
      </w:pPr>
    </w:p>
    <w:p>
      <w:pPr>
        <w:ind w:left="544" w:right="340" w:hanging="539"/>
        <w:spacing w:after="0" w:line="308" w:lineRule="auto"/>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JVCo shall reproduce and shall not remove or obscure any intellectual property notice incorporated in the ARM Licensed IP by ARM. ARM shall reproduce and shall not remove or obscure any intellectual property notice incorporated in the JVCo Licensed IP by JVCo.</w:t>
      </w:r>
    </w:p>
    <w:p>
      <w:pPr>
        <w:spacing w:after="0" w:line="52"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10.2</w:t>
        <w:tab/>
        <w:t>JVCo shall incorporate and shall require that any Downstream Affiliate to which any Original ARM Product, Derivative Product or ARM Derivative Product is provided in accordance with the terms of this Agreement, incorporates corresponding intellectual property notices and such other markings and notifications as ARM may reasonably require on all copies of the Original ARM Products, Derivative Products or ARM Derivative Product and any derivatives thereof (including any translation, modification, compilation, abridgement or other form in which the Original ARM Product, Derivative Product or ARM Derivative Product has been recast, transformed or adapted) created by JVCo or any of its Downstream Affiliates, as the case may be.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341" w:name="page342"/>
    <w:bookmarkEnd w:id="341"/>
    <w:p>
      <w:pPr>
        <w:ind w:left="544" w:right="20" w:hanging="539"/>
        <w:spacing w:after="0" w:line="275"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10.3</w:t>
      </w:r>
      <w:r>
        <w:rPr>
          <w:sz w:val="20"/>
          <w:szCs w:val="20"/>
          <w:color w:val="auto"/>
        </w:rPr>
        <w:tab/>
      </w:r>
      <w:r>
        <w:rPr>
          <w:rFonts w:ascii="Arial" w:cs="Arial" w:eastAsia="Arial" w:hAnsi="Arial"/>
          <w:sz w:val="17"/>
          <w:szCs w:val="17"/>
          <w:color w:val="auto"/>
        </w:rPr>
        <w:t>ARM shall incorporate and shall require that any Downstream Affiliate to which any Independent Product or Derivative Product is provided in accordance with the terms of this Agreement, incorporates corresponding intellectual property notices and such other markings and notifications as JVCo may reasonably require on all copies of the Independent Products or Derivative Products and any derivatives thereof (including any translation, modification, compilation, abridgement or other form in which the Independent Product or Derivative Product has been recast, transformed or adapted) created by ARM or any of its Downstream Affiliates, as the case may be.</w:t>
      </w:r>
    </w:p>
    <w:p>
      <w:pPr>
        <w:spacing w:after="0" w:line="78" w:lineRule="exact"/>
        <w:rPr>
          <w:sz w:val="20"/>
          <w:szCs w:val="20"/>
          <w:color w:val="auto"/>
        </w:rPr>
      </w:pPr>
    </w:p>
    <w:p>
      <w:pPr>
        <w:ind w:left="544" w:hanging="544"/>
        <w:spacing w:after="0"/>
        <w:tabs>
          <w:tab w:leader="none" w:pos="544"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NON-ASSERT</w:t>
      </w:r>
    </w:p>
    <w:p>
      <w:pPr>
        <w:spacing w:after="0" w:line="135" w:lineRule="exact"/>
        <w:rPr>
          <w:sz w:val="20"/>
          <w:szCs w:val="20"/>
          <w:color w:val="auto"/>
        </w:rPr>
      </w:pPr>
    </w:p>
    <w:p>
      <w:pPr>
        <w:ind w:left="544" w:right="80" w:hanging="539"/>
        <w:spacing w:after="0" w:line="275" w:lineRule="auto"/>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Upon a reasonable request by ARM, JVCo shall at ARM’s expense enforce against a PRC Licensee any non-assert undertaking that such PRC Licensee in writing is subject to or bound by or agrees to in so far as it relates to: (i) the ARM Group; and (ii) any Downstream Affiliates of the ARM Group. Notwithstanding the foregoing and solely to the extent permissible under Applicable Law, JVCo shall make reasonable efforts to ensure that ARM (or the relevant member of the ARM Group) has a right to enforce the undertakings referenced in this Clause 11, in so far as they relate to: (i) the ARM Group; and (ii) any Downstream Affiliates of the ARM Group.</w:t>
      </w:r>
    </w:p>
    <w:p>
      <w:pPr>
        <w:spacing w:after="0" w:line="82" w:lineRule="exact"/>
        <w:rPr>
          <w:sz w:val="20"/>
          <w:szCs w:val="20"/>
          <w:color w:val="auto"/>
        </w:rPr>
      </w:pPr>
    </w:p>
    <w:p>
      <w:pPr>
        <w:ind w:left="544" w:right="180" w:hanging="539"/>
        <w:spacing w:after="0" w:line="257" w:lineRule="auto"/>
        <w:tabs>
          <w:tab w:leader="none" w:pos="524" w:val="left"/>
        </w:tabs>
        <w:rPr>
          <w:sz w:val="20"/>
          <w:szCs w:val="20"/>
          <w:color w:val="auto"/>
        </w:rPr>
      </w:pPr>
      <w:r>
        <w:rPr>
          <w:rFonts w:ascii="Arial" w:cs="Arial" w:eastAsia="Arial" w:hAnsi="Arial"/>
          <w:sz w:val="18"/>
          <w:szCs w:val="18"/>
          <w:color w:val="auto"/>
        </w:rPr>
        <w:t>11.2</w:t>
        <w:tab/>
        <w:t>With respect to any Feedback received by the JVCo Group from a PRC Licensee pursuant to a license agreement relating to an Original ARM Product or an ARM Derivative Product and solely to the extent that the JVCo Group has the right to sub-license any such rights, JVCo shall sub-license, or, if applicable, procure the sub-license, to ARM pursuant to the terms of this Agreement the scope of rights in such Feedback licensed to the JVCo Group by such PRC Licensee, solely to the extent that such Feedback relates to the Original ARM Product or ARM Derivative Product.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PART B: LICENSES OF JVCO IP</w:t>
      </w:r>
    </w:p>
    <w:p>
      <w:pPr>
        <w:spacing w:after="0" w:line="131" w:lineRule="exact"/>
        <w:rPr>
          <w:sz w:val="20"/>
          <w:szCs w:val="20"/>
          <w:color w:val="auto"/>
        </w:rPr>
      </w:pPr>
    </w:p>
    <w:p>
      <w:pPr>
        <w:ind w:left="544" w:hanging="544"/>
        <w:spacing w:after="0"/>
        <w:tabs>
          <w:tab w:leader="none" w:pos="544"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FOREGROUND IP</w:t>
      </w:r>
    </w:p>
    <w:p>
      <w:pPr>
        <w:spacing w:after="0" w:line="135" w:lineRule="exact"/>
        <w:rPr>
          <w:sz w:val="20"/>
          <w:szCs w:val="20"/>
          <w:color w:val="auto"/>
        </w:rPr>
      </w:pPr>
    </w:p>
    <w:p>
      <w:pPr>
        <w:ind w:left="544" w:right="380" w:hanging="539"/>
        <w:spacing w:after="0" w:line="263" w:lineRule="auto"/>
        <w:tabs>
          <w:tab w:leader="none" w:pos="524" w:val="left"/>
        </w:tabs>
        <w:rPr>
          <w:sz w:val="20"/>
          <w:szCs w:val="20"/>
          <w:color w:val="auto"/>
        </w:rPr>
      </w:pPr>
      <w:r>
        <w:rPr>
          <w:rFonts w:ascii="Arial" w:cs="Arial" w:eastAsia="Arial" w:hAnsi="Arial"/>
          <w:sz w:val="18"/>
          <w:szCs w:val="18"/>
          <w:color w:val="auto"/>
        </w:rPr>
        <w:t>12.1</w:t>
        <w:tab/>
        <w:t>JVCo shall be the sole and exclusive owner of all Foreground IP and will be entitled to fully use, exploit and license such Foreground IP in connection with its business in accordance with the Joint Venture Contract and subject to the licenses of Foreground IP granted under this Agreement.</w:t>
      </w:r>
    </w:p>
    <w:p>
      <w:pPr>
        <w:spacing w:after="0" w:line="89"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12.2</w:t>
        <w:tab/>
        <w:t>JVCo shall direct and ensure that its relevant employees, secondees and members of the JVCo Group enter into formal proprietary information and invention assignment agreements assigning all of their rights in and to Foreground IP with full title guarantee to JVCo to enable it to file, prosecute and maintain the Foreground IP under its own name.</w:t>
      </w:r>
    </w:p>
    <w:p>
      <w:pPr>
        <w:spacing w:after="0" w:line="85" w:lineRule="exact"/>
        <w:rPr>
          <w:sz w:val="20"/>
          <w:szCs w:val="20"/>
          <w:color w:val="auto"/>
        </w:rPr>
      </w:pPr>
    </w:p>
    <w:p>
      <w:pPr>
        <w:ind w:left="544" w:hanging="544"/>
        <w:spacing w:after="0"/>
        <w:tabs>
          <w:tab w:leader="none" w:pos="54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LICENSE OF JVCO LICENSED IP</w:t>
      </w:r>
    </w:p>
    <w:p>
      <w:pPr>
        <w:spacing w:after="0" w:line="135"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the other terms of this Agreement, JVCo grants (and shall, if applicable, procure the grant by any of its wholly owned Subsidiaries) to ARM and its Subsidiaries a perpetual and irrevocable (except that this grant is revocable only in accordance with Clause 8.7 (to the extent that a JVCo Licensed Product is excluded from the license scope pursuant to that Clause 8.7) and Clause 28), royalty-bearing (to the extent set out in Schedule 2), assignable (only in accordance with Clause 41) worldwide license, with a right to sub-license, to the JVCo Licensed IP to:</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4"/>
          </w:cols>
          <w:pgMar w:left="436" w:top="274" w:right="519" w:bottom="1440" w:gutter="0" w:footer="0" w:header="0"/>
        </w:sectPr>
      </w:pPr>
    </w:p>
    <w:bookmarkStart w:id="342" w:name="page343"/>
    <w:bookmarkEnd w:id="342"/>
    <w:p>
      <w:pPr>
        <w:ind w:left="1180" w:right="280" w:hanging="647"/>
        <w:spacing w:after="0" w:line="286"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13.1.1</w:t>
      </w:r>
      <w:r>
        <w:rPr>
          <w:sz w:val="20"/>
          <w:szCs w:val="20"/>
          <w:color w:val="auto"/>
        </w:rPr>
        <w:tab/>
      </w:r>
      <w:r>
        <w:rPr>
          <w:rFonts w:ascii="Arial" w:cs="Arial" w:eastAsia="Arial" w:hAnsi="Arial"/>
          <w:sz w:val="17"/>
          <w:szCs w:val="17"/>
          <w:color w:val="auto"/>
        </w:rPr>
        <w:t>grant Commercial sub-licenses of the Derivative Products and Independent Products to Non-PRC Licensees, solely to the extent that such sub-licenses are granted on the terms of the relevant Applicable Model License (in each case, which terms may include any Permitted Deviations relevant to that Applicable Model License and, where agreed, Licensing Exceptions);</w:t>
      </w:r>
    </w:p>
    <w:p>
      <w:pPr>
        <w:spacing w:after="0" w:line="71" w:lineRule="exact"/>
        <w:rPr>
          <w:sz w:val="20"/>
          <w:szCs w:val="20"/>
          <w:color w:val="auto"/>
        </w:rPr>
      </w:pPr>
    </w:p>
    <w:p>
      <w:pPr>
        <w:ind w:left="1180" w:right="80" w:hanging="647"/>
        <w:spacing w:after="0" w:line="263" w:lineRule="auto"/>
        <w:tabs>
          <w:tab w:leader="none" w:pos="1160" w:val="left"/>
        </w:tabs>
        <w:rPr>
          <w:sz w:val="20"/>
          <w:szCs w:val="20"/>
          <w:color w:val="auto"/>
        </w:rPr>
      </w:pPr>
      <w:r>
        <w:rPr>
          <w:rFonts w:ascii="Arial" w:cs="Arial" w:eastAsia="Arial" w:hAnsi="Arial"/>
          <w:sz w:val="18"/>
          <w:szCs w:val="18"/>
          <w:color w:val="auto"/>
        </w:rPr>
        <w:t>13.1.2</w:t>
        <w:tab/>
        <w:t>grant Commercial sub-licenses of ARM Derivative Products to Non-PRC Licensees, provided that such sub-licenses are granted on the terms of the Applicable Model License (in each case, which terms may include any Permitted Deviations relevant to that Applicable Model License and, where agreed, Licensing Exceptions);</w:t>
      </w:r>
    </w:p>
    <w:p>
      <w:pPr>
        <w:spacing w:after="0" w:line="89" w:lineRule="exact"/>
        <w:rPr>
          <w:sz w:val="20"/>
          <w:szCs w:val="20"/>
          <w:color w:val="auto"/>
        </w:rPr>
      </w:pPr>
    </w:p>
    <w:p>
      <w:pPr>
        <w:jc w:val="both"/>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13.1.3</w:t>
        <w:tab/>
        <w:t>undertake modification and development activities with respect to such Derivative Products, Independent Products and ARM Derivative Products to create ARM Derivative Products. For the avoidance of doubt, any such modification and development made by or on behalf of ARM shall be deemed to be ARM Semiconductor Technology;</w:t>
      </w:r>
    </w:p>
    <w:p>
      <w:pPr>
        <w:spacing w:after="0" w:line="89" w:lineRule="exact"/>
        <w:rPr>
          <w:sz w:val="20"/>
          <w:szCs w:val="20"/>
          <w:color w:val="auto"/>
        </w:rPr>
      </w:pPr>
    </w:p>
    <w:p>
      <w:pPr>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13.1.4</w:t>
        <w:tab/>
        <w:t>manufacture or have manufactured test chips for the ARM Derivative Products, Derivative Products and Independent Products for non-revenue-bearing distribution to Non-PRC Licensees, provided that the total number of test chips shall not exceed 500 chips for each unique ‘system-on-chip’ test chip design; and</w:t>
      </w:r>
    </w:p>
    <w:p>
      <w:pPr>
        <w:spacing w:after="0" w:line="89" w:lineRule="exact"/>
        <w:rPr>
          <w:sz w:val="20"/>
          <w:szCs w:val="20"/>
          <w:color w:val="auto"/>
        </w:rPr>
      </w:pPr>
    </w:p>
    <w:p>
      <w:pPr>
        <w:ind w:left="1180" w:right="80" w:hanging="647"/>
        <w:spacing w:after="0" w:line="308" w:lineRule="auto"/>
        <w:tabs>
          <w:tab w:leader="none" w:pos="1160"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7"/>
          <w:szCs w:val="17"/>
          <w:color w:val="auto"/>
        </w:rPr>
        <w:t>if approved by the IP Committee, use the Trade Marks licensed by JVCo to ARM outside of the PRC in connection with the promotion and marketing of the Independent Products and ARM Derivative Products, and administrative activities related thereto.</w:t>
      </w:r>
    </w:p>
    <w:p>
      <w:pPr>
        <w:spacing w:after="0" w:line="52"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13.2</w:t>
        <w:tab/>
        <w:t>JVCo shall bear any third party costs associated with the sub-licensing of Intellectual Property of any third party to ARM in accordance with this Clause 13.</w:t>
      </w:r>
    </w:p>
    <w:p>
      <w:pPr>
        <w:spacing w:after="0" w:line="76" w:lineRule="exact"/>
        <w:rPr>
          <w:sz w:val="20"/>
          <w:szCs w:val="20"/>
          <w:color w:val="auto"/>
        </w:rPr>
      </w:pPr>
    </w:p>
    <w:p>
      <w:pPr>
        <w:ind w:left="540" w:hanging="539"/>
        <w:spacing w:after="0" w:line="275"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Upon receipt of a written request from ARM, JVCo shall promptly deliver the requested Derivative Product or Independent Product to ARM. ARM shall only provide a written request to ARM pursuant to this Clause 13.3 where: (i) ARM is subject to a contractual obligation to a Non-PRC Licensee to deliver that product to that Non-PRC Licensee; (ii) it is reasonably likely that ARM will be subject to such a contractual obligation to a Non-PRC Licensee reasonably promptly following any such request; (iii) access to the product is reasonably necessary for ARM’s proposed modification and development activity; or (iv) as otherwise mutually agreed between the Parties.</w:t>
      </w:r>
    </w:p>
    <w:p>
      <w:pPr>
        <w:spacing w:after="0" w:line="82" w:lineRule="exact"/>
        <w:rPr>
          <w:sz w:val="20"/>
          <w:szCs w:val="20"/>
          <w:color w:val="auto"/>
        </w:rPr>
      </w:pPr>
    </w:p>
    <w:p>
      <w:pPr>
        <w:ind w:left="540" w:right="100" w:hanging="539"/>
        <w:spacing w:after="0" w:line="308" w:lineRule="auto"/>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JVCo shall deliver JVCo Updates to ARM for any Derivative Products or Independent Products which have previously been delivered by JVCo to ARM in accordance with Clause 13.3 as soon as reasonably possible after such JVCo Update is Released by the JVCo Group.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343" w:name="page344"/>
    <w:bookmarkEnd w:id="343"/>
    <w:p>
      <w:pPr>
        <w:ind w:left="544" w:hanging="544"/>
        <w:spacing w:after="0"/>
        <w:tabs>
          <w:tab w:leader="none" w:pos="544"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TO THE JVCO LICENSED IP LICENSES</w:t>
      </w:r>
    </w:p>
    <w:p>
      <w:pPr>
        <w:spacing w:after="0" w:line="135" w:lineRule="exact"/>
        <w:rPr>
          <w:sz w:val="20"/>
          <w:szCs w:val="20"/>
          <w:color w:val="auto"/>
        </w:rPr>
      </w:pPr>
    </w:p>
    <w:p>
      <w:pPr>
        <w:ind w:left="544" w:hanging="539"/>
        <w:spacing w:after="0" w:line="275" w:lineRule="auto"/>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Subject to the other terms and conditions of this Agreement, the licenses granted pursuant to Clauses 13.1.1 and 13.1.2 shall be deemed to be exclusive, in each case to the extent that such clauses grant rights to ARM to enter into Commercial licensing arrangements with Non-PRC Licensees with respect to the Derivative Products, Independent Products and ARM Derivative Products in accordance with the Applicable Model License during the Term of this Agreement. With respect to the exclusive rights granted in Clauses 13.1.1 and 13.1.2 and save as provided under Clause 14.4, JVCo may not enter into any licensing arrangement with any Non-PRC Licensee.</w:t>
      </w:r>
    </w:p>
    <w:p>
      <w:pPr>
        <w:spacing w:after="0" w:line="82" w:lineRule="exact"/>
        <w:rPr>
          <w:sz w:val="20"/>
          <w:szCs w:val="20"/>
          <w:color w:val="auto"/>
        </w:rPr>
      </w:pPr>
    </w:p>
    <w:p>
      <w:pPr>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14.2</w:t>
        <w:tab/>
        <w:t>JVCo will not enter into any arrangement with a PRC Licensee which permits that PRC Licensee to sub-license to a Non-PRC Licensee any JVCo Licensed Product (with respect to the scope of rights referenced in Clause 14.1), save with respect to sub-licensing to third party service providers that are providing services to, or on behalf of, the PRC Licensee.</w:t>
      </w:r>
    </w:p>
    <w:p>
      <w:pPr>
        <w:spacing w:after="0" w:line="89"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14.3</w:t>
        <w:tab/>
        <w:t>In the event that the exclusivity arrangement described in Clause 14.1 is limited by any Applicable Law, the license grant shall not terminate, but shall remain exclusive to the extent that is permitted by such Applicable Law and shall become non-exclusive to the extent that is necessary to conform with such Applicable Law.</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Notwithstanding the foregoing, nothing in this Agreement shall prevent:</w:t>
      </w:r>
    </w:p>
    <w:p>
      <w:pPr>
        <w:spacing w:after="0" w:line="131" w:lineRule="exact"/>
        <w:rPr>
          <w:sz w:val="20"/>
          <w:szCs w:val="20"/>
          <w:color w:val="auto"/>
        </w:rPr>
      </w:pPr>
    </w:p>
    <w:p>
      <w:pPr>
        <w:ind w:left="1184" w:right="80" w:hanging="647"/>
        <w:spacing w:after="0" w:line="277" w:lineRule="auto"/>
        <w:tabs>
          <w:tab w:leader="none" w:pos="1164" w:val="left"/>
        </w:tabs>
        <w:rPr>
          <w:sz w:val="20"/>
          <w:szCs w:val="20"/>
          <w:color w:val="auto"/>
        </w:rPr>
      </w:pPr>
      <w:r>
        <w:rPr>
          <w:rFonts w:ascii="Arial" w:cs="Arial" w:eastAsia="Arial" w:hAnsi="Arial"/>
          <w:sz w:val="18"/>
          <w:szCs w:val="18"/>
          <w:color w:val="auto"/>
        </w:rPr>
        <w:t>14.4.1</w:t>
        <w:tab/>
        <w:t>JVCo from undertaking research or development activities (or entering into arrangements with third parties to undertake such activities on behalf of the JVCo Group) outside of the PRC;</w:t>
      </w:r>
    </w:p>
    <w:p>
      <w:pPr>
        <w:spacing w:after="0" w:line="76" w:lineRule="exact"/>
        <w:rPr>
          <w:sz w:val="20"/>
          <w:szCs w:val="20"/>
          <w:color w:val="auto"/>
        </w:rPr>
      </w:pPr>
    </w:p>
    <w:p>
      <w:pPr>
        <w:ind w:left="1184" w:right="180" w:hanging="647"/>
        <w:spacing w:after="0" w:line="277" w:lineRule="auto"/>
        <w:tabs>
          <w:tab w:leader="none" w:pos="1164" w:val="left"/>
        </w:tabs>
        <w:rPr>
          <w:sz w:val="20"/>
          <w:szCs w:val="20"/>
          <w:color w:val="auto"/>
        </w:rPr>
      </w:pPr>
      <w:r>
        <w:rPr>
          <w:rFonts w:ascii="Arial" w:cs="Arial" w:eastAsia="Arial" w:hAnsi="Arial"/>
          <w:sz w:val="18"/>
          <w:szCs w:val="18"/>
          <w:color w:val="auto"/>
        </w:rPr>
        <w:t>14.4.2</w:t>
        <w:tab/>
        <w:t>JVCo from granting worldwide, sub-licensable rights in the JVCo Licensed IP to Non-PRC Licensees for a non-Commercial purpose; or</w:t>
      </w:r>
    </w:p>
    <w:p>
      <w:pPr>
        <w:spacing w:after="0" w:line="76" w:lineRule="exact"/>
        <w:rPr>
          <w:sz w:val="20"/>
          <w:szCs w:val="20"/>
          <w:color w:val="auto"/>
        </w:rPr>
      </w:pPr>
    </w:p>
    <w:p>
      <w:pPr>
        <w:ind w:left="1184" w:right="360" w:hanging="647"/>
        <w:spacing w:after="0" w:line="277" w:lineRule="auto"/>
        <w:tabs>
          <w:tab w:leader="none" w:pos="1164" w:val="left"/>
        </w:tabs>
        <w:rPr>
          <w:sz w:val="20"/>
          <w:szCs w:val="20"/>
          <w:color w:val="auto"/>
        </w:rPr>
      </w:pPr>
      <w:r>
        <w:rPr>
          <w:rFonts w:ascii="Arial" w:cs="Arial" w:eastAsia="Arial" w:hAnsi="Arial"/>
          <w:sz w:val="18"/>
          <w:szCs w:val="18"/>
          <w:color w:val="auto"/>
        </w:rPr>
        <w:t>14.4.3</w:t>
        <w:tab/>
        <w:t>JVCo from granting sub-licensable rights to JVCo Licensed Products to PRC Licensees, permitting such PRC Licensees to conduct sub-licensing (including to Non-PRC Licensees) in accordance with Clause 14.2</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Exclusive Interface with Non-PRC Licensees for JVCo Licensed Products</w:t>
      </w:r>
    </w:p>
    <w:p>
      <w:pPr>
        <w:spacing w:after="0" w:line="131" w:lineRule="exact"/>
        <w:rPr>
          <w:sz w:val="20"/>
          <w:szCs w:val="20"/>
          <w:color w:val="auto"/>
        </w:rPr>
      </w:pPr>
    </w:p>
    <w:p>
      <w:pPr>
        <w:ind w:left="1184" w:right="100" w:hanging="647"/>
        <w:spacing w:after="0" w:line="259" w:lineRule="auto"/>
        <w:tabs>
          <w:tab w:leader="none" w:pos="1164" w:val="left"/>
        </w:tabs>
        <w:rPr>
          <w:sz w:val="20"/>
          <w:szCs w:val="20"/>
          <w:color w:val="auto"/>
        </w:rPr>
      </w:pPr>
      <w:r>
        <w:rPr>
          <w:rFonts w:ascii="Arial" w:cs="Arial" w:eastAsia="Arial" w:hAnsi="Arial"/>
          <w:sz w:val="18"/>
          <w:szCs w:val="18"/>
          <w:color w:val="auto"/>
        </w:rPr>
        <w:t>14.5.1</w:t>
        <w:tab/>
        <w:t>Subject to the other provisions of this Clause 14.5, ARM shall be the exclusive interfacing channel with respect to Non-PRC Licensees for any JVCo Licensed Products and Design Services, and JVCo may not (without the prior written consent of ARM, such consent not to be unreasonably withheld, delayed or conditioned) initiate direct contact with any Non-PRC Licensee with respect to any JVCo Licensed Product and Design Services.</w:t>
      </w:r>
    </w:p>
    <w:p>
      <w:pPr>
        <w:spacing w:after="0" w:line="92" w:lineRule="exact"/>
        <w:rPr>
          <w:sz w:val="20"/>
          <w:szCs w:val="20"/>
          <w:color w:val="auto"/>
        </w:rPr>
      </w:pPr>
    </w:p>
    <w:p>
      <w:pPr>
        <w:ind w:left="1184" w:right="60" w:hanging="647"/>
        <w:spacing w:after="0" w:line="259" w:lineRule="auto"/>
        <w:tabs>
          <w:tab w:leader="none" w:pos="1164" w:val="left"/>
        </w:tabs>
        <w:rPr>
          <w:sz w:val="20"/>
          <w:szCs w:val="20"/>
          <w:color w:val="auto"/>
        </w:rPr>
      </w:pPr>
      <w:r>
        <w:rPr>
          <w:rFonts w:ascii="Arial" w:cs="Arial" w:eastAsia="Arial" w:hAnsi="Arial"/>
          <w:sz w:val="18"/>
          <w:szCs w:val="18"/>
          <w:color w:val="auto"/>
        </w:rPr>
        <w:t>14.5.2</w:t>
        <w:tab/>
        <w:t>Subject to Clause 14.5.4, nothing in this Agreement shall prevent JVCo from providing post-sales technical support to any Non-PRC Licensee for an Independent or Derivative Product or Design Services, where that Non-PRC Licensee has already entered into a license agreement with respect to that Independent or Derivative Product or Design Services with ARM and that support is provided pursuant to the JV Services Agreement.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0" w:right="459" w:bottom="1440" w:gutter="0" w:footer="0" w:header="0"/>
        </w:sectPr>
      </w:pPr>
    </w:p>
    <w:bookmarkStart w:id="344" w:name="page345"/>
    <w:bookmarkEnd w:id="344"/>
    <w:p>
      <w:pPr>
        <w:ind w:left="1184" w:hanging="647"/>
        <w:spacing w:after="0" w:line="259"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14.5.3</w:t>
        <w:tab/>
        <w:t>The Parties acknowledge and agree that, subject to Clause 14.5.4, there will be circumstances where JVCo will reasonably require direct engagement with Non-PRC Licensees (and Non-PRC Licensees will require direct engagement with JVCo) to facilitate the development and receipt of JVCo Product and Market Data. ARM (acting in good faith) will not hinder or frustrate JVCo from engaging with Non-PRC Licensees for such purposes.</w:t>
      </w:r>
    </w:p>
    <w:p>
      <w:pPr>
        <w:spacing w:after="0" w:line="92" w:lineRule="exact"/>
        <w:rPr>
          <w:sz w:val="20"/>
          <w:szCs w:val="20"/>
          <w:color w:val="auto"/>
        </w:rPr>
      </w:pPr>
    </w:p>
    <w:p>
      <w:pPr>
        <w:ind w:left="1184" w:right="100" w:hanging="647"/>
        <w:spacing w:after="0" w:line="259" w:lineRule="auto"/>
        <w:tabs>
          <w:tab w:leader="none" w:pos="1164" w:val="left"/>
        </w:tabs>
        <w:rPr>
          <w:sz w:val="20"/>
          <w:szCs w:val="20"/>
          <w:color w:val="auto"/>
        </w:rPr>
      </w:pPr>
      <w:r>
        <w:rPr>
          <w:rFonts w:ascii="Arial" w:cs="Arial" w:eastAsia="Arial" w:hAnsi="Arial"/>
          <w:sz w:val="18"/>
          <w:szCs w:val="18"/>
          <w:color w:val="auto"/>
        </w:rPr>
        <w:t>14.5.4</w:t>
        <w:tab/>
        <w:t>Prior to the Effective Date, the Parties will consult in good faith and agree upon a set of operating principles to facilitate direct engagement and co-ordination between JVCo and Non-PRC Licensees with respect to JVCo Licensed Products (including with respect to the direct engagement described in Clauses 14.5.2 and 14.5.3) whilst still providing appropriate oversight for, and involvement of, ARM.</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PART C: RISK ALLOCATION AND PROTECTIONS WITH RESPECT TO LICENSED IP</w:t>
      </w:r>
    </w:p>
    <w:p>
      <w:pPr>
        <w:spacing w:after="0" w:line="131" w:lineRule="exact"/>
        <w:rPr>
          <w:sz w:val="20"/>
          <w:szCs w:val="20"/>
          <w:color w:val="auto"/>
        </w:rPr>
      </w:pPr>
    </w:p>
    <w:p>
      <w:pPr>
        <w:ind w:left="544" w:hanging="544"/>
        <w:spacing w:after="0"/>
        <w:tabs>
          <w:tab w:leader="none" w:pos="544"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ARM WARRANTIES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Functionality Warranties</w:t>
      </w:r>
    </w:p>
    <w:p>
      <w:pPr>
        <w:spacing w:after="0" w:line="131" w:lineRule="exact"/>
        <w:rPr>
          <w:sz w:val="20"/>
          <w:szCs w:val="20"/>
          <w:color w:val="auto"/>
        </w:rPr>
      </w:pPr>
    </w:p>
    <w:p>
      <w:pPr>
        <w:ind w:left="1184" w:right="160" w:hanging="647"/>
        <w:spacing w:after="0" w:line="277" w:lineRule="auto"/>
        <w:tabs>
          <w:tab w:leader="none" w:pos="1164" w:val="left"/>
        </w:tabs>
        <w:rPr>
          <w:sz w:val="20"/>
          <w:szCs w:val="20"/>
          <w:color w:val="auto"/>
        </w:rPr>
      </w:pPr>
      <w:r>
        <w:rPr>
          <w:rFonts w:ascii="Arial" w:cs="Arial" w:eastAsia="Arial" w:hAnsi="Arial"/>
          <w:sz w:val="18"/>
          <w:szCs w:val="18"/>
          <w:color w:val="auto"/>
        </w:rPr>
        <w:t>15.1.1</w:t>
        <w:tab/>
        <w:t>ARM warrants to JVCo that all deliverables provided by ARM in accordance with Clauses 3.5 and 3.6 are substantially and materially the same as the ARM Semiconductor Technology used and updated in ARM’s own operations.</w:t>
      </w:r>
    </w:p>
    <w:p>
      <w:pPr>
        <w:spacing w:after="0" w:line="76" w:lineRule="exact"/>
        <w:rPr>
          <w:sz w:val="20"/>
          <w:szCs w:val="20"/>
          <w:color w:val="auto"/>
        </w:rPr>
      </w:pPr>
    </w:p>
    <w:p>
      <w:pPr>
        <w:ind w:left="1184" w:right="80" w:hanging="647"/>
        <w:spacing w:after="0" w:line="257" w:lineRule="auto"/>
        <w:tabs>
          <w:tab w:leader="none" w:pos="1164" w:val="left"/>
        </w:tabs>
        <w:rPr>
          <w:sz w:val="20"/>
          <w:szCs w:val="20"/>
          <w:color w:val="auto"/>
        </w:rPr>
      </w:pPr>
      <w:r>
        <w:rPr>
          <w:rFonts w:ascii="Arial" w:cs="Arial" w:eastAsia="Arial" w:hAnsi="Arial"/>
          <w:sz w:val="18"/>
          <w:szCs w:val="18"/>
          <w:color w:val="auto"/>
        </w:rPr>
        <w:t>15.1.2</w:t>
        <w:tab/>
        <w:t>ARM warrants to JVCo that the Licensed ARM Architectures in respect of which Architecture IP is licensed will be: (i) sufficient to allow a person reasonably skilled in the art to design an Architecture Compliant Core in respect of that Licensed ARM Architecture; and (ii) documented in a manner consistent with applicable industry standards, but in no event will the Licensed ARM Architectures be documented using standards or practices that are lesser (to any material extent) than what are adopted by the ARM Group for its own operations.</w:t>
      </w:r>
    </w:p>
    <w:p>
      <w:pPr>
        <w:spacing w:after="0" w:line="93" w:lineRule="exact"/>
        <w:rPr>
          <w:sz w:val="20"/>
          <w:szCs w:val="20"/>
          <w:color w:val="auto"/>
        </w:rPr>
      </w:pPr>
    </w:p>
    <w:p>
      <w:pPr>
        <w:ind w:left="1184" w:right="480" w:hanging="647"/>
        <w:spacing w:after="0" w:line="263" w:lineRule="auto"/>
        <w:tabs>
          <w:tab w:leader="none" w:pos="1164" w:val="left"/>
        </w:tabs>
        <w:rPr>
          <w:sz w:val="20"/>
          <w:szCs w:val="20"/>
          <w:color w:val="auto"/>
        </w:rPr>
      </w:pPr>
      <w:r>
        <w:rPr>
          <w:rFonts w:ascii="Arial" w:cs="Arial" w:eastAsia="Arial" w:hAnsi="Arial"/>
          <w:sz w:val="18"/>
          <w:szCs w:val="18"/>
          <w:color w:val="auto"/>
        </w:rPr>
        <w:t>15.1.3</w:t>
        <w:tab/>
        <w:t>Notwithstanding Clause 15.1.2, ARM shall not be responsible for any recoverable or non-recoverable costs incurred, directly or indirectly, by JVCo in the design migration, processing or manufacture of masks or prototypes, characterisation or manufacture of production quality silicon in whatever quantity.</w:t>
      </w:r>
    </w:p>
    <w:p>
      <w:pPr>
        <w:spacing w:after="0" w:line="89" w:lineRule="exact"/>
        <w:rPr>
          <w:sz w:val="20"/>
          <w:szCs w:val="20"/>
          <w:color w:val="auto"/>
        </w:rPr>
      </w:pPr>
    </w:p>
    <w:p>
      <w:pPr>
        <w:ind w:left="1184" w:right="120" w:hanging="647"/>
        <w:spacing w:after="0" w:line="263" w:lineRule="auto"/>
        <w:tabs>
          <w:tab w:leader="none" w:pos="1164" w:val="left"/>
        </w:tabs>
        <w:rPr>
          <w:sz w:val="20"/>
          <w:szCs w:val="20"/>
          <w:color w:val="auto"/>
        </w:rPr>
      </w:pPr>
      <w:r>
        <w:rPr>
          <w:rFonts w:ascii="Arial" w:cs="Arial" w:eastAsia="Arial" w:hAnsi="Arial"/>
          <w:sz w:val="18"/>
          <w:szCs w:val="18"/>
          <w:color w:val="auto"/>
        </w:rPr>
        <w:t>15.1.4</w:t>
        <w:tab/>
        <w:t>ARM warrants to JVCo that the Original ARM Products (excluding the ARM Architectures) and the ARM Derivative Products will be consistent with allowing a competent semiconductor manufacturer to manufacture products which substantially conform to the functionality described in the relevant specification delivered by ARM to JVCo.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4"/>
          </w:cols>
          <w:pgMar w:left="436" w:top="274" w:right="439" w:bottom="1440" w:gutter="0" w:footer="0" w:header="0"/>
        </w:sectPr>
      </w:pPr>
    </w:p>
    <w:bookmarkStart w:id="345" w:name="page346"/>
    <w:bookmarkEnd w:id="345"/>
    <w:p>
      <w:pPr>
        <w:ind w:left="1180" w:hanging="647"/>
        <w:spacing w:after="0" w:line="273"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15.1.5</w:t>
      </w:r>
      <w:r>
        <w:rPr>
          <w:sz w:val="20"/>
          <w:szCs w:val="20"/>
          <w:color w:val="auto"/>
        </w:rPr>
        <w:tab/>
      </w:r>
      <w:r>
        <w:rPr>
          <w:rFonts w:ascii="Arial" w:cs="Arial" w:eastAsia="Arial" w:hAnsi="Arial"/>
          <w:sz w:val="17"/>
          <w:szCs w:val="17"/>
          <w:color w:val="auto"/>
        </w:rPr>
        <w:t>JVCo acknowledges that the process for converting the Original ARM Products and the ARM Derivative Products delivered to JVCo in to silicon necessarily involves the introduction and use of technology not delivered by ARM and accordingly ARM’s liability and JVCo’s sole remedy for breach of the warranty provided under Clause 15.1.4 shall be as follows: if JVCo can demonstrate to ARM that any defect that is manifested or would be manifested in the silicon of an ARM Compliant Product developed using any Original ARM Product or any ARM Derivative Product is exclusively caused by a defect in the Original ARM Product or the ARM Derivative Product as delivered to JVCo then ARM shall use commercially reasonable efforts to either or both:</w:t>
      </w:r>
    </w:p>
    <w:p>
      <w:pPr>
        <w:spacing w:after="0" w:line="205" w:lineRule="exact"/>
        <w:rPr>
          <w:sz w:val="20"/>
          <w:szCs w:val="20"/>
          <w:color w:val="auto"/>
        </w:rPr>
      </w:pPr>
    </w:p>
    <w:p>
      <w:pPr>
        <w:ind w:left="1740" w:right="40" w:hanging="543"/>
        <w:spacing w:after="0" w:line="277" w:lineRule="auto"/>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correct any errors in the Original ARM Product or ARM Derivative Product and deliver the corrected Original ARM Product to JVCo; and</w:t>
      </w:r>
    </w:p>
    <w:p>
      <w:pPr>
        <w:spacing w:after="0" w:line="197" w:lineRule="exact"/>
        <w:rPr>
          <w:rFonts w:ascii="Arial" w:cs="Arial" w:eastAsia="Arial" w:hAnsi="Arial"/>
          <w:sz w:val="18"/>
          <w:szCs w:val="18"/>
          <w:color w:val="auto"/>
        </w:rPr>
      </w:pPr>
    </w:p>
    <w:p>
      <w:pPr>
        <w:ind w:left="1740" w:hanging="543"/>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create a workaround to remedy the defect and deliver such workaround to JVCo,</w:t>
      </w:r>
    </w:p>
    <w:p>
      <w:pPr>
        <w:spacing w:after="0" w:line="117" w:lineRule="exact"/>
        <w:rPr>
          <w:sz w:val="20"/>
          <w:szCs w:val="20"/>
          <w:color w:val="auto"/>
        </w:rPr>
      </w:pPr>
    </w:p>
    <w:p>
      <w:pPr>
        <w:ind w:left="1200" w:right="140"/>
        <w:spacing w:after="0" w:line="263" w:lineRule="auto"/>
        <w:rPr>
          <w:sz w:val="20"/>
          <w:szCs w:val="20"/>
          <w:color w:val="auto"/>
        </w:rPr>
      </w:pPr>
      <w:r>
        <w:rPr>
          <w:rFonts w:ascii="Arial" w:cs="Arial" w:eastAsia="Arial" w:hAnsi="Arial"/>
          <w:sz w:val="18"/>
          <w:szCs w:val="18"/>
          <w:color w:val="auto"/>
        </w:rPr>
        <w:t>provided that ARM shall have no liability (and JVCo shall have no remedy) for any such defect in an ARM Derivative Product where ARM can demonstrate that the defect is caused by a Derivative Product or Independent Product (or part thereof) that subsists in the ARM Derivative Product.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foregoing states the entire liability of ARM with respect to breach of the warranty provided in Clause 15.1.4.</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Intellectual Property Warranties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ARM warrants, to ARM’s knowledge and belief, that:</w:t>
      </w:r>
    </w:p>
    <w:p>
      <w:pPr>
        <w:spacing w:after="0" w:line="252" w:lineRule="exact"/>
        <w:rPr>
          <w:sz w:val="20"/>
          <w:szCs w:val="20"/>
          <w:color w:val="auto"/>
        </w:rPr>
      </w:pPr>
    </w:p>
    <w:p>
      <w:pPr>
        <w:ind w:left="1740" w:right="200" w:hanging="543"/>
        <w:spacing w:after="0" w:line="277" w:lineRule="auto"/>
        <w:tabs>
          <w:tab w:leader="none" w:pos="1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ARM Group is the owner of the ARM Licensed IP or otherwise has the right to grant the rights and licenses in such ARM Licensed IP to JVCo in accordance with the terms of this Agreement;</w:t>
      </w:r>
    </w:p>
    <w:p>
      <w:pPr>
        <w:spacing w:after="0" w:line="197" w:lineRule="exact"/>
        <w:rPr>
          <w:rFonts w:ascii="Arial" w:cs="Arial" w:eastAsia="Arial" w:hAnsi="Arial"/>
          <w:sz w:val="18"/>
          <w:szCs w:val="18"/>
          <w:color w:val="auto"/>
        </w:rPr>
      </w:pPr>
    </w:p>
    <w:p>
      <w:pPr>
        <w:ind w:left="1740" w:right="40" w:hanging="543"/>
        <w:spacing w:after="0" w:line="263" w:lineRule="auto"/>
        <w:tabs>
          <w:tab w:leader="none" w:pos="1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ARM Licensed IP and the Co-owned IP constitutes all ARM Semiconductor Technology IP that: (a) is developed by, or on behalf of the ARM Group, and licensed, provided, or made available, by the ARM Group; and (b) subsists in the Original ARM Products and ARM Derivative Products;</w:t>
      </w:r>
    </w:p>
    <w:p>
      <w:pPr>
        <w:spacing w:after="0" w:line="210" w:lineRule="exact"/>
        <w:rPr>
          <w:rFonts w:ascii="Arial" w:cs="Arial" w:eastAsia="Arial" w:hAnsi="Arial"/>
          <w:sz w:val="18"/>
          <w:szCs w:val="18"/>
          <w:color w:val="auto"/>
        </w:rPr>
      </w:pPr>
    </w:p>
    <w:p>
      <w:pPr>
        <w:jc w:val="both"/>
        <w:ind w:left="1740" w:right="360" w:hanging="543"/>
        <w:spacing w:after="0" w:line="263" w:lineRule="auto"/>
        <w:tabs>
          <w:tab w:leader="none" w:pos="1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Original ARM Products (whether or not the Intellectual Property that subsists in the Original ARM Products is licensed under this Agreement or is Co-owned IP under the Co-ownership Deed) and the ARM Derivative Products do not infringe, misappropriate or violate any third party Copyright, mask work right or Trade Secret;</w:t>
      </w:r>
    </w:p>
    <w:p>
      <w:pPr>
        <w:spacing w:after="0" w:line="210" w:lineRule="exact"/>
        <w:rPr>
          <w:rFonts w:ascii="Arial" w:cs="Arial" w:eastAsia="Arial" w:hAnsi="Arial"/>
          <w:sz w:val="18"/>
          <w:szCs w:val="18"/>
          <w:color w:val="auto"/>
        </w:rPr>
      </w:pPr>
    </w:p>
    <w:p>
      <w:pPr>
        <w:ind w:left="1740" w:right="760" w:hanging="543"/>
        <w:spacing w:after="0" w:line="277" w:lineRule="auto"/>
        <w:tabs>
          <w:tab w:leader="none" w:pos="1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at the date of this Agreement, there are no pending actions commenced against any member of the ARM Group for infringement by the relevant Original ARM Product of any third party Intellectual Property;</w:t>
      </w:r>
    </w:p>
    <w:p>
      <w:pPr>
        <w:spacing w:after="0" w:line="197" w:lineRule="exact"/>
        <w:rPr>
          <w:rFonts w:ascii="Arial" w:cs="Arial" w:eastAsia="Arial" w:hAnsi="Arial"/>
          <w:sz w:val="18"/>
          <w:szCs w:val="18"/>
          <w:color w:val="auto"/>
        </w:rPr>
      </w:pPr>
    </w:p>
    <w:p>
      <w:pPr>
        <w:ind w:left="1740" w:right="20" w:hanging="543"/>
        <w:spacing w:after="0" w:line="342" w:lineRule="auto"/>
        <w:tabs>
          <w:tab w:leader="none" w:pos="17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as at the date of this Agreement, ARM has not granted any third party any license, right, limitation, or restriction with respect to the Original ARM Products in the PRC that are in conflict with the licenses granted to JVCo under this Agreement;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346" w:name="page347"/>
    <w:bookmarkEnd w:id="346"/>
    <w:p>
      <w:pPr>
        <w:ind w:left="1744" w:right="120" w:hanging="543"/>
        <w:spacing w:after="0" w:line="311" w:lineRule="auto"/>
        <w:tabs>
          <w:tab w:leader="none" w:pos="1744"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at the date of this Agreement, ARM (or any member of the ARM Group) is not party to a Comparable Architecture License that contains non-assert obligations that are less onerous in any material respect on the licensee (taking into account the totality of the terms of those non-assert obligations) than the non-assert obligations set out in Clauses 30.5 and 30.6.</w:t>
      </w:r>
    </w:p>
    <w:p>
      <w:pPr>
        <w:spacing w:after="0" w:line="54" w:lineRule="exact"/>
        <w:rPr>
          <w:sz w:val="20"/>
          <w:szCs w:val="20"/>
          <w:color w:val="auto"/>
        </w:rPr>
      </w:pPr>
    </w:p>
    <w:p>
      <w:pPr>
        <w:ind w:left="1184" w:right="120" w:hanging="647"/>
        <w:spacing w:after="0" w:line="342" w:lineRule="auto"/>
        <w:tabs>
          <w:tab w:leader="none" w:pos="1164"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JVCo shall not be entitled to claim that any fact, matter or circumstance causes the warranties at Clauses 15.2.1(iv) and 15.2.1(v) to be breached if that fact, matter or circumstance has been fairly disclosed by ARM to JVCo in advance of the Effective Date.</w:t>
      </w:r>
    </w:p>
    <w:p>
      <w:pPr>
        <w:spacing w:after="0" w:line="29" w:lineRule="exact"/>
        <w:rPr>
          <w:sz w:val="20"/>
          <w:szCs w:val="20"/>
          <w:color w:val="auto"/>
        </w:rPr>
      </w:pPr>
    </w:p>
    <w:p>
      <w:pPr>
        <w:ind w:left="1184" w:right="1040" w:hanging="647"/>
        <w:spacing w:after="0" w:line="277" w:lineRule="auto"/>
        <w:tabs>
          <w:tab w:leader="none" w:pos="1164" w:val="left"/>
        </w:tabs>
        <w:rPr>
          <w:sz w:val="20"/>
          <w:szCs w:val="20"/>
          <w:color w:val="auto"/>
        </w:rPr>
      </w:pPr>
      <w:r>
        <w:rPr>
          <w:rFonts w:ascii="Arial" w:cs="Arial" w:eastAsia="Arial" w:hAnsi="Arial"/>
          <w:sz w:val="18"/>
          <w:szCs w:val="18"/>
          <w:color w:val="auto"/>
        </w:rPr>
        <w:t>15.2.3</w:t>
        <w:tab/>
        <w:t>Subject to Clause 15.2.4, JVCo’s exclusive remedy for any breach of the warranties provided in Clause 15.2.1 shall be the indemnification provided under Clause 16 of this Agreement.</w:t>
      </w:r>
    </w:p>
    <w:p>
      <w:pPr>
        <w:spacing w:after="0" w:line="76" w:lineRule="exact"/>
        <w:rPr>
          <w:sz w:val="20"/>
          <w:szCs w:val="20"/>
          <w:color w:val="auto"/>
        </w:rPr>
      </w:pPr>
    </w:p>
    <w:p>
      <w:pPr>
        <w:ind w:left="1184" w:right="20" w:hanging="647"/>
        <w:spacing w:after="0" w:line="308" w:lineRule="auto"/>
        <w:tabs>
          <w:tab w:leader="none" w:pos="1164" w:val="left"/>
        </w:tabs>
        <w:rPr>
          <w:sz w:val="20"/>
          <w:szCs w:val="20"/>
          <w:color w:val="auto"/>
        </w:rPr>
      </w:pPr>
      <w:r>
        <w:rPr>
          <w:rFonts w:ascii="Arial" w:cs="Arial" w:eastAsia="Arial" w:hAnsi="Arial"/>
          <w:sz w:val="18"/>
          <w:szCs w:val="18"/>
          <w:color w:val="auto"/>
        </w:rPr>
        <w:t>15.2.4</w:t>
      </w:r>
      <w:r>
        <w:rPr>
          <w:sz w:val="20"/>
          <w:szCs w:val="20"/>
          <w:color w:val="auto"/>
        </w:rPr>
        <w:tab/>
      </w:r>
      <w:r>
        <w:rPr>
          <w:rFonts w:ascii="Arial" w:cs="Arial" w:eastAsia="Arial" w:hAnsi="Arial"/>
          <w:sz w:val="17"/>
          <w:szCs w:val="17"/>
          <w:color w:val="auto"/>
        </w:rPr>
        <w:t>JVCo’s exclusive remedy for any breach of the warranty provided in Clause 15.2.1(vi) shall be the amendment of Clauses 30.5 and 30.6 such that it reflects (in all material respects) the non-assert obligations that give rise to the breach of that warranty.</w:t>
      </w:r>
    </w:p>
    <w:p>
      <w:pPr>
        <w:spacing w:after="0" w:line="52" w:lineRule="exact"/>
        <w:rPr>
          <w:sz w:val="20"/>
          <w:szCs w:val="20"/>
          <w:color w:val="auto"/>
        </w:rPr>
      </w:pPr>
    </w:p>
    <w:p>
      <w:pPr>
        <w:jc w:val="center"/>
        <w:ind w:right="416"/>
        <w:spacing w:after="0"/>
        <w:tabs>
          <w:tab w:leader="none" w:pos="20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Except as expressly provided in this Clause 15, ARM provides no express, implied or statutory warranties, including without limitation, the</w:t>
      </w:r>
    </w:p>
    <w:p>
      <w:pPr>
        <w:spacing w:after="0" w:line="23" w:lineRule="exact"/>
        <w:rPr>
          <w:sz w:val="20"/>
          <w:szCs w:val="20"/>
          <w:color w:val="auto"/>
        </w:rPr>
      </w:pPr>
    </w:p>
    <w:p>
      <w:pPr>
        <w:ind w:left="544"/>
        <w:spacing w:after="0" w:line="255" w:lineRule="auto"/>
        <w:rPr>
          <w:sz w:val="20"/>
          <w:szCs w:val="20"/>
          <w:color w:val="auto"/>
        </w:rPr>
      </w:pPr>
      <w:r>
        <w:rPr>
          <w:rFonts w:ascii="Arial" w:cs="Arial" w:eastAsia="Arial" w:hAnsi="Arial"/>
          <w:sz w:val="18"/>
          <w:szCs w:val="18"/>
          <w:color w:val="auto"/>
        </w:rPr>
        <w:t>implied warranties of merchantability, satisfactory quality, non-infringement or fitness for a particular purpose with respect to ARM Semiconductor Technology. All warranties implied by Applicable Law (whether by statute or common law or through trade custom or practice or otherwise) are excluded to the maximum extent permitted by Applicable Law.</w:t>
      </w:r>
    </w:p>
    <w:p>
      <w:pPr>
        <w:spacing w:after="0" w:line="91" w:lineRule="exact"/>
        <w:rPr>
          <w:sz w:val="20"/>
          <w:szCs w:val="20"/>
          <w:color w:val="auto"/>
        </w:rPr>
      </w:pPr>
    </w:p>
    <w:p>
      <w:pPr>
        <w:ind w:left="544" w:hanging="544"/>
        <w:spacing w:after="0"/>
        <w:tabs>
          <w:tab w:leader="none" w:pos="544"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ARM INDEMNIFICATION</w:t>
      </w:r>
    </w:p>
    <w:p>
      <w:pPr>
        <w:spacing w:after="0" w:line="135" w:lineRule="exact"/>
        <w:rPr>
          <w:sz w:val="20"/>
          <w:szCs w:val="20"/>
          <w:color w:val="auto"/>
        </w:rPr>
      </w:pPr>
    </w:p>
    <w:p>
      <w:pPr>
        <w:ind w:left="544" w:right="180" w:hanging="539"/>
        <w:spacing w:after="0" w:line="271" w:lineRule="auto"/>
        <w:tabs>
          <w:tab w:leader="none" w:pos="52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Except as provided under Clauses 16.3, 16.4 and 16.5, in the event of a law suit, administrative proceedings or similar action against any member of the JVCo Group (excluding a JVCo Licensee Indemnity Claim) based upon a claim that the ARM Brand Trade Marks or any of the Original ARM Products or the ARM Derivative Products as delivered by ARM to the JVCo Group under this Agreement, when used by any member of the JVCo Group in accordance with the provisions of this Agreement, infringe any third party Intellectual Property (a “</w:t>
      </w:r>
      <w:r>
        <w:rPr>
          <w:rFonts w:ascii="Arial" w:cs="Arial" w:eastAsia="Arial" w:hAnsi="Arial"/>
          <w:sz w:val="17"/>
          <w:szCs w:val="17"/>
          <w:b w:val="1"/>
          <w:bCs w:val="1"/>
          <w:color w:val="auto"/>
        </w:rPr>
        <w:t>JVCo</w:t>
      </w:r>
      <w:r>
        <w:rPr>
          <w:rFonts w:ascii="Arial" w:cs="Arial" w:eastAsia="Arial" w:hAnsi="Arial"/>
          <w:sz w:val="17"/>
          <w:szCs w:val="17"/>
          <w:color w:val="auto"/>
        </w:rPr>
        <w:t xml:space="preserve"> </w:t>
      </w:r>
      <w:r>
        <w:rPr>
          <w:rFonts w:ascii="Arial" w:cs="Arial" w:eastAsia="Arial" w:hAnsi="Arial"/>
          <w:sz w:val="17"/>
          <w:szCs w:val="17"/>
          <w:b w:val="1"/>
          <w:bCs w:val="1"/>
          <w:color w:val="auto"/>
        </w:rPr>
        <w:t>Infringement Suit</w:t>
      </w:r>
      <w:r>
        <w:rPr>
          <w:rFonts w:ascii="Arial" w:cs="Arial" w:eastAsia="Arial" w:hAnsi="Arial"/>
          <w:sz w:val="17"/>
          <w:szCs w:val="17"/>
          <w:color w:val="auto"/>
        </w:rPr>
        <w:t>”), ARM agrees, subject to the limitations of the rest of this Clause 16 and Clause 20, to pay for the reasonable fees paid to</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attorneys to defend the suit and damages and costs finally awarded by the court in any such suit or for any amount paid in any settlement of any such suit but in each case, only to the extent that such fees, damages, costs or amounts paid in settlement relate to the JVCo Infringement Suit against the Original ARM Product or the ARM Derivative Product, provided that: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347" w:name="page348"/>
    <w:bookmarkEnd w:id="347"/>
    <w:p>
      <w:pPr>
        <w:ind w:left="520"/>
        <w:spacing w:after="0"/>
        <w:tabs>
          <w:tab w:leader="none" w:pos="1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16.1.1</w:t>
      </w:r>
      <w:r>
        <w:rPr>
          <w:sz w:val="20"/>
          <w:szCs w:val="20"/>
          <w:color w:val="auto"/>
        </w:rPr>
        <w:tab/>
      </w:r>
      <w:r>
        <w:rPr>
          <w:rFonts w:ascii="Arial" w:cs="Arial" w:eastAsia="Arial" w:hAnsi="Arial"/>
          <w:sz w:val="16"/>
          <w:szCs w:val="16"/>
          <w:color w:val="auto"/>
        </w:rPr>
        <w:t>ARM is promptly notified by JVCo, in writing, of any and all threats, claims and proceedings related to the claim;</w:t>
      </w:r>
    </w:p>
    <w:p>
      <w:pPr>
        <w:spacing w:after="0" w:line="131"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color w:val="auto"/>
        </w:rPr>
        <w:t>ARM has sole control of the defence and any settlement of the JVCo Infringement Suit;</w:t>
      </w:r>
    </w:p>
    <w:p>
      <w:pPr>
        <w:spacing w:after="0" w:line="131" w:lineRule="exact"/>
        <w:rPr>
          <w:sz w:val="20"/>
          <w:szCs w:val="20"/>
          <w:color w:val="auto"/>
        </w:rPr>
      </w:pPr>
    </w:p>
    <w:p>
      <w:pPr>
        <w:ind w:left="1160" w:right="260" w:hanging="647"/>
        <w:spacing w:after="0" w:line="277" w:lineRule="auto"/>
        <w:tabs>
          <w:tab w:leader="none" w:pos="1140" w:val="left"/>
        </w:tabs>
        <w:rPr>
          <w:sz w:val="20"/>
          <w:szCs w:val="20"/>
          <w:color w:val="auto"/>
        </w:rPr>
      </w:pPr>
      <w:r>
        <w:rPr>
          <w:rFonts w:ascii="Arial" w:cs="Arial" w:eastAsia="Arial" w:hAnsi="Arial"/>
          <w:sz w:val="18"/>
          <w:szCs w:val="18"/>
          <w:color w:val="auto"/>
        </w:rPr>
        <w:t>16.1.3</w:t>
        <w:tab/>
        <w:t>the JVCo Group does not make any admission of liability nor settle or otherwise compromise the claim without ARM’s prior written consent;</w:t>
      </w:r>
    </w:p>
    <w:p>
      <w:pPr>
        <w:spacing w:after="0" w:line="76"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6"/>
          <w:szCs w:val="16"/>
          <w:color w:val="auto"/>
        </w:rPr>
        <w:t>JVCo furnishes to ARM, upon request, any information available to JVCo relating to the claim;</w:t>
      </w:r>
    </w:p>
    <w:p>
      <w:pPr>
        <w:spacing w:after="0" w:line="131"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6"/>
          <w:szCs w:val="16"/>
          <w:color w:val="auto"/>
        </w:rPr>
        <w:t>JVCo provides reasonable assistance to enable ARM to control the defence of the JVCo Infringement Suit; and</w:t>
      </w:r>
    </w:p>
    <w:p>
      <w:pPr>
        <w:spacing w:after="0" w:line="131" w:lineRule="exact"/>
        <w:rPr>
          <w:sz w:val="20"/>
          <w:szCs w:val="20"/>
          <w:color w:val="auto"/>
        </w:rPr>
      </w:pPr>
    </w:p>
    <w:p>
      <w:pPr>
        <w:ind w:left="1160" w:right="40" w:hanging="647"/>
        <w:spacing w:after="0" w:line="277" w:lineRule="auto"/>
        <w:tabs>
          <w:tab w:leader="none" w:pos="1140" w:val="left"/>
        </w:tabs>
        <w:rPr>
          <w:sz w:val="20"/>
          <w:szCs w:val="20"/>
          <w:color w:val="auto"/>
        </w:rPr>
      </w:pPr>
      <w:r>
        <w:rPr>
          <w:rFonts w:ascii="Arial" w:cs="Arial" w:eastAsia="Arial" w:hAnsi="Arial"/>
          <w:sz w:val="18"/>
          <w:szCs w:val="18"/>
          <w:color w:val="auto"/>
        </w:rPr>
        <w:t>16.1.6</w:t>
        <w:tab/>
        <w:t>the JVCo Group ceases use of the Original ARM Product or ARM Derivative Product which is the subject of the suit upon receipt from ARM of any non-infringing replacement for such Original ARM Product or ARM Derivative Product.</w:t>
      </w:r>
    </w:p>
    <w:p>
      <w:pPr>
        <w:spacing w:after="0" w:line="76" w:lineRule="exact"/>
        <w:rPr>
          <w:sz w:val="20"/>
          <w:szCs w:val="20"/>
          <w:color w:val="auto"/>
        </w:rPr>
      </w:pPr>
    </w:p>
    <w:p>
      <w:pPr>
        <w:ind w:left="520" w:hanging="539"/>
        <w:spacing w:after="0" w:line="288" w:lineRule="auto"/>
        <w:tabs>
          <w:tab w:leader="none" w:pos="5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Except as provided under Clauses 16.3, 16.4, and 16.5, in the event of an indemnification claim brought against any member of the JVCo Group by a PRC Licensee (the “</w:t>
      </w:r>
      <w:r>
        <w:rPr>
          <w:rFonts w:ascii="Arial" w:cs="Arial" w:eastAsia="Arial" w:hAnsi="Arial"/>
          <w:sz w:val="16"/>
          <w:szCs w:val="16"/>
          <w:b w:val="1"/>
          <w:bCs w:val="1"/>
          <w:color w:val="auto"/>
        </w:rPr>
        <w:t>Underlying JVCo Licensee</w:t>
      </w:r>
      <w:r>
        <w:rPr>
          <w:rFonts w:ascii="Arial" w:cs="Arial" w:eastAsia="Arial" w:hAnsi="Arial"/>
          <w:sz w:val="16"/>
          <w:szCs w:val="16"/>
          <w:color w:val="auto"/>
        </w:rPr>
        <w:t>”) with respect to a law suit, administrative proceedings or similar action against the Underlying JVCo Licensee (the “</w:t>
      </w:r>
      <w:r>
        <w:rPr>
          <w:rFonts w:ascii="Arial" w:cs="Arial" w:eastAsia="Arial" w:hAnsi="Arial"/>
          <w:sz w:val="16"/>
          <w:szCs w:val="16"/>
          <w:b w:val="1"/>
          <w:bCs w:val="1"/>
          <w:color w:val="auto"/>
        </w:rPr>
        <w:t>Underlying JVCo Licensee Suit</w:t>
      </w:r>
      <w:r>
        <w:rPr>
          <w:rFonts w:ascii="Arial" w:cs="Arial" w:eastAsia="Arial" w:hAnsi="Arial"/>
          <w:sz w:val="16"/>
          <w:szCs w:val="16"/>
          <w:color w:val="auto"/>
        </w:rPr>
        <w:t>”) based upon a claim that the ARM Brand Trade Marks or any of the Original ARM Products or ARM Derivative Products as delivered by the JVCo Group to the Underlying JVCo Licensee under the relevant license agreement, when used by the Underlying JVCo Licensee in accordance with the provisions of that license agreement, infringe any third party Intellectual Property (a “</w:t>
      </w:r>
      <w:r>
        <w:rPr>
          <w:rFonts w:ascii="Arial" w:cs="Arial" w:eastAsia="Arial" w:hAnsi="Arial"/>
          <w:sz w:val="16"/>
          <w:szCs w:val="16"/>
          <w:b w:val="1"/>
          <w:bCs w:val="1"/>
          <w:color w:val="auto"/>
        </w:rPr>
        <w:t>JVCo Licensee Indemnity Claim</w:t>
      </w:r>
      <w:r>
        <w:rPr>
          <w:rFonts w:ascii="Arial" w:cs="Arial" w:eastAsia="Arial" w:hAnsi="Arial"/>
          <w:sz w:val="16"/>
          <w:szCs w:val="16"/>
          <w:color w:val="auto"/>
        </w:rPr>
        <w:t>”), ARM agrees, subject to the limitations of the rest of this Clause 16 and Clause 20, to pay for the reasonable fees paid by the Underlying JVCo Licensee to third party attorneys to defend the Underlying JVCo Licensee Suit and damages and costs finally awarded by the court in any such Underlying JVCo Licensee Suit or for any amounts paid in any settlement of any such Underlying JVCo Licensee Suit but in each case, only to the extent that such fees, damages, costs or amounts paid in settlement relate to the Underlying JVCo Licensee Suit against the Original ARM Product or ARM Derivative Product, provided that:</w:t>
      </w:r>
    </w:p>
    <w:p>
      <w:pPr>
        <w:spacing w:after="0" w:line="74" w:lineRule="exact"/>
        <w:rPr>
          <w:sz w:val="20"/>
          <w:szCs w:val="20"/>
          <w:color w:val="auto"/>
        </w:rPr>
      </w:pPr>
    </w:p>
    <w:p>
      <w:pPr>
        <w:ind w:left="1160" w:right="260" w:hanging="647"/>
        <w:spacing w:after="0" w:line="277" w:lineRule="auto"/>
        <w:tabs>
          <w:tab w:leader="none" w:pos="1140" w:val="left"/>
        </w:tabs>
        <w:rPr>
          <w:sz w:val="20"/>
          <w:szCs w:val="20"/>
          <w:color w:val="auto"/>
        </w:rPr>
      </w:pPr>
      <w:r>
        <w:rPr>
          <w:rFonts w:ascii="Arial" w:cs="Arial" w:eastAsia="Arial" w:hAnsi="Arial"/>
          <w:sz w:val="18"/>
          <w:szCs w:val="18"/>
          <w:color w:val="auto"/>
        </w:rPr>
        <w:t>16.2.1</w:t>
        <w:tab/>
        <w:t>JVCo is promptly notified by the Underlying JVCo Licensee, in writing, of any and all threats, claims and proceedings related to the Underlying JVCo Licensee Suit;</w:t>
      </w:r>
    </w:p>
    <w:p>
      <w:pPr>
        <w:spacing w:after="0" w:line="76" w:lineRule="exact"/>
        <w:rPr>
          <w:sz w:val="20"/>
          <w:szCs w:val="20"/>
          <w:color w:val="auto"/>
        </w:rPr>
      </w:pPr>
    </w:p>
    <w:p>
      <w:pPr>
        <w:ind w:left="1160" w:right="200" w:hanging="647"/>
        <w:spacing w:after="0" w:line="277" w:lineRule="auto"/>
        <w:tabs>
          <w:tab w:leader="none" w:pos="1140" w:val="left"/>
        </w:tabs>
        <w:rPr>
          <w:sz w:val="20"/>
          <w:szCs w:val="20"/>
          <w:color w:val="auto"/>
        </w:rPr>
      </w:pPr>
      <w:r>
        <w:rPr>
          <w:rFonts w:ascii="Arial" w:cs="Arial" w:eastAsia="Arial" w:hAnsi="Arial"/>
          <w:sz w:val="18"/>
          <w:szCs w:val="18"/>
          <w:color w:val="auto"/>
        </w:rPr>
        <w:t>16.2.2</w:t>
        <w:tab/>
        <w:t>ARM is promptly thereafter notified by JVCo, in writing, of any and all threats, claims and proceedings related to the JVCo Licensee Indemnity Claim;</w:t>
      </w:r>
    </w:p>
    <w:p>
      <w:pPr>
        <w:spacing w:after="0" w:line="76"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6"/>
          <w:szCs w:val="16"/>
          <w:color w:val="auto"/>
        </w:rPr>
        <w:t>ARM has sole control of the defence and any settlement of the Underlying JVCo Licensee Suit;</w:t>
      </w:r>
    </w:p>
    <w:p>
      <w:pPr>
        <w:spacing w:after="0" w:line="131" w:lineRule="exact"/>
        <w:rPr>
          <w:sz w:val="20"/>
          <w:szCs w:val="20"/>
          <w:color w:val="auto"/>
        </w:rPr>
      </w:pPr>
    </w:p>
    <w:p>
      <w:pPr>
        <w:ind w:left="1160" w:hanging="647"/>
        <w:spacing w:after="0" w:line="277" w:lineRule="auto"/>
        <w:tabs>
          <w:tab w:leader="none" w:pos="1140" w:val="left"/>
        </w:tabs>
        <w:rPr>
          <w:sz w:val="20"/>
          <w:szCs w:val="20"/>
          <w:color w:val="auto"/>
        </w:rPr>
      </w:pPr>
      <w:r>
        <w:rPr>
          <w:rFonts w:ascii="Arial" w:cs="Arial" w:eastAsia="Arial" w:hAnsi="Arial"/>
          <w:sz w:val="18"/>
          <w:szCs w:val="18"/>
          <w:color w:val="auto"/>
        </w:rPr>
        <w:t>16.2.4</w:t>
        <w:tab/>
        <w:t>neither the JVCo Group nor the Underlying JVCo Licensee may make any admission of liability nor settle or otherwise compromise the Underlying JVCo Licensee Suit without ARM’s prior written consent;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460" w:top="274" w:right="479" w:bottom="1440" w:gutter="0" w:footer="0" w:header="0"/>
        </w:sectPr>
      </w:pPr>
    </w:p>
    <w:bookmarkStart w:id="348" w:name="page349"/>
    <w:bookmarkEnd w:id="348"/>
    <w:p>
      <w:pPr>
        <w:ind w:left="1180" w:right="16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16.2.5</w:t>
        <w:tab/>
        <w:t>JVCo and the Underlying JVCo Licensee furnish to ARM, upon request, any information available to JVCo and the Underlying JVCo Licensee relating to the Underlying JVCo Licensee Suit;</w:t>
      </w:r>
    </w:p>
    <w:p>
      <w:pPr>
        <w:spacing w:after="0" w:line="76" w:lineRule="exact"/>
        <w:rPr>
          <w:sz w:val="20"/>
          <w:szCs w:val="20"/>
          <w:color w:val="auto"/>
        </w:rPr>
      </w:pPr>
    </w:p>
    <w:p>
      <w:pPr>
        <w:ind w:left="1180" w:right="120" w:hanging="647"/>
        <w:spacing w:after="0" w:line="277" w:lineRule="auto"/>
        <w:tabs>
          <w:tab w:leader="none" w:pos="1160" w:val="left"/>
        </w:tabs>
        <w:rPr>
          <w:sz w:val="20"/>
          <w:szCs w:val="20"/>
          <w:color w:val="auto"/>
        </w:rPr>
      </w:pPr>
      <w:r>
        <w:rPr>
          <w:rFonts w:ascii="Arial" w:cs="Arial" w:eastAsia="Arial" w:hAnsi="Arial"/>
          <w:sz w:val="18"/>
          <w:szCs w:val="18"/>
          <w:color w:val="auto"/>
        </w:rPr>
        <w:t>16.2.6</w:t>
        <w:tab/>
        <w:t>JVCo and the Underlying JVCo Licensee provide reasonable assistance to enable ARM to control the defence of the Underlying JVCo Licensee Suit; and</w:t>
      </w:r>
    </w:p>
    <w:p>
      <w:pPr>
        <w:spacing w:after="0" w:line="76" w:lineRule="exact"/>
        <w:rPr>
          <w:sz w:val="20"/>
          <w:szCs w:val="20"/>
          <w:color w:val="auto"/>
        </w:rPr>
      </w:pPr>
    </w:p>
    <w:p>
      <w:pPr>
        <w:ind w:left="1180" w:right="600" w:hanging="647"/>
        <w:spacing w:after="0" w:line="263" w:lineRule="auto"/>
        <w:tabs>
          <w:tab w:leader="none" w:pos="1160" w:val="left"/>
        </w:tabs>
        <w:rPr>
          <w:sz w:val="20"/>
          <w:szCs w:val="20"/>
          <w:color w:val="auto"/>
        </w:rPr>
      </w:pPr>
      <w:r>
        <w:rPr>
          <w:rFonts w:ascii="Arial" w:cs="Arial" w:eastAsia="Arial" w:hAnsi="Arial"/>
          <w:sz w:val="18"/>
          <w:szCs w:val="18"/>
          <w:color w:val="auto"/>
        </w:rPr>
        <w:t>16.2.7</w:t>
        <w:tab/>
        <w:t>the JVCo Group ceases use, and procures that the Underlying JVCo Licensee ceases use, of the Original ARM Product or ARM Derivative Product which is the subject of the Underlying JVCo Licensee Suit upon receipt from ARM of any non-infringing replacement for such Original ARM Product or ARM Derivative Product.</w:t>
      </w:r>
    </w:p>
    <w:p>
      <w:pPr>
        <w:spacing w:after="0" w:line="76" w:lineRule="exact"/>
        <w:rPr>
          <w:sz w:val="20"/>
          <w:szCs w:val="20"/>
          <w:color w:val="auto"/>
        </w:rPr>
      </w:pPr>
    </w:p>
    <w:p>
      <w:pPr>
        <w:ind w:left="760" w:right="920"/>
        <w:spacing w:after="0" w:line="277" w:lineRule="auto"/>
        <w:rPr>
          <w:sz w:val="20"/>
          <w:szCs w:val="20"/>
          <w:color w:val="auto"/>
        </w:rPr>
      </w:pPr>
      <w:r>
        <w:rPr>
          <w:rFonts w:ascii="Arial" w:cs="Arial" w:eastAsia="Arial" w:hAnsi="Arial"/>
          <w:sz w:val="18"/>
          <w:szCs w:val="18"/>
          <w:color w:val="auto"/>
        </w:rPr>
        <w:t>Clauses 16.1 and 16.2 state the entire liability of ARM with respect to infringement by the ARM Brand Trade Marks or the ARM Semiconductor Technology of any third party Intellectual Property.</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ARM shall have no liability under Clause 16.1 or Clause 16.2, in respect of:</w:t>
      </w:r>
    </w:p>
    <w:p>
      <w:pPr>
        <w:spacing w:after="0" w:line="131" w:lineRule="exact"/>
        <w:rPr>
          <w:sz w:val="20"/>
          <w:szCs w:val="20"/>
          <w:color w:val="auto"/>
        </w:rPr>
      </w:pPr>
    </w:p>
    <w:p>
      <w:pPr>
        <w:ind w:left="1180" w:right="420" w:hanging="647"/>
        <w:spacing w:after="0" w:line="277" w:lineRule="auto"/>
        <w:tabs>
          <w:tab w:leader="none" w:pos="1160" w:val="left"/>
        </w:tabs>
        <w:rPr>
          <w:sz w:val="20"/>
          <w:szCs w:val="20"/>
          <w:color w:val="auto"/>
        </w:rPr>
      </w:pPr>
      <w:r>
        <w:rPr>
          <w:rFonts w:ascii="Arial" w:cs="Arial" w:eastAsia="Arial" w:hAnsi="Arial"/>
          <w:sz w:val="18"/>
          <w:szCs w:val="18"/>
          <w:color w:val="auto"/>
        </w:rPr>
        <w:t>16.3.1</w:t>
        <w:tab/>
        <w:t>any design implementation by JVCo (or any of its Downstream Affiliates) except to the extent that and only to the extent that such implementation infringes Necessary Claims;</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16.3.2</w:t>
      </w:r>
      <w:r>
        <w:rPr>
          <w:sz w:val="20"/>
          <w:szCs w:val="20"/>
          <w:color w:val="auto"/>
        </w:rPr>
        <w:tab/>
      </w:r>
      <w:r>
        <w:rPr>
          <w:rFonts w:ascii="Arial" w:cs="Arial" w:eastAsia="Arial" w:hAnsi="Arial"/>
          <w:sz w:val="16"/>
          <w:szCs w:val="16"/>
          <w:color w:val="auto"/>
        </w:rPr>
        <w:t>the licensing of any Original ARM Product or ARM Derivative Product in breach of the restrictions set out at Clause 5.3 or Clause 8.7;</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16.3.3</w:t>
      </w:r>
      <w:r>
        <w:rPr>
          <w:sz w:val="20"/>
          <w:szCs w:val="20"/>
          <w:color w:val="auto"/>
        </w:rPr>
        <w:tab/>
      </w:r>
      <w:r>
        <w:rPr>
          <w:rFonts w:ascii="Arial" w:cs="Arial" w:eastAsia="Arial" w:hAnsi="Arial"/>
          <w:sz w:val="16"/>
          <w:szCs w:val="16"/>
          <w:color w:val="auto"/>
        </w:rPr>
        <w:t>any infringement arising from:</w:t>
      </w:r>
    </w:p>
    <w:p>
      <w:pPr>
        <w:spacing w:after="0" w:line="252" w:lineRule="exact"/>
        <w:rPr>
          <w:sz w:val="20"/>
          <w:szCs w:val="20"/>
          <w:color w:val="auto"/>
        </w:rPr>
      </w:pPr>
    </w:p>
    <w:p>
      <w:pPr>
        <w:ind w:left="1740" w:right="80" w:hanging="543"/>
        <w:spacing w:after="0" w:line="308" w:lineRule="auto"/>
        <w:tabs>
          <w:tab w:leader="none" w:pos="174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combination of any Original ARM Product or ARM Derivative Product by JVCo (or any of its Downstream Affiliates) with other products not supplied by ARM if such infringement would not have occurred but for such combination;</w:t>
      </w:r>
    </w:p>
    <w:p>
      <w:pPr>
        <w:spacing w:after="0" w:line="173" w:lineRule="exact"/>
        <w:rPr>
          <w:rFonts w:ascii="Arial" w:cs="Arial" w:eastAsia="Arial" w:hAnsi="Arial"/>
          <w:sz w:val="17"/>
          <w:szCs w:val="17"/>
          <w:color w:val="auto"/>
        </w:rPr>
      </w:pPr>
    </w:p>
    <w:p>
      <w:pPr>
        <w:ind w:left="1740" w:right="240" w:hanging="543"/>
        <w:spacing w:after="0" w:line="277" w:lineRule="auto"/>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modification of any Original ARM Product or ARM Derivative Product by JVCo (or any of its Downstream Affiliates) if such infringement would not have occurred but for such modification;</w:t>
      </w:r>
    </w:p>
    <w:p>
      <w:pPr>
        <w:spacing w:after="0" w:line="197" w:lineRule="exact"/>
        <w:rPr>
          <w:rFonts w:ascii="Arial" w:cs="Arial" w:eastAsia="Arial" w:hAnsi="Arial"/>
          <w:sz w:val="18"/>
          <w:szCs w:val="18"/>
          <w:color w:val="auto"/>
        </w:rPr>
      </w:pPr>
    </w:p>
    <w:p>
      <w:pPr>
        <w:ind w:left="1740" w:hanging="543"/>
        <w:spacing w:after="0" w:line="263" w:lineRule="auto"/>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process of synthesizing any Original ARM Product or ARM Derivative Product including but not limited to the use by JVCo (or any of its Downstream Affiliates) of cell libraries of that entity if such infringement would not have occurred but for the application of such process; or</w:t>
      </w:r>
    </w:p>
    <w:p>
      <w:pPr>
        <w:spacing w:after="0" w:line="210" w:lineRule="exact"/>
        <w:rPr>
          <w:rFonts w:ascii="Arial" w:cs="Arial" w:eastAsia="Arial" w:hAnsi="Arial"/>
          <w:sz w:val="18"/>
          <w:szCs w:val="18"/>
          <w:color w:val="auto"/>
        </w:rPr>
      </w:pPr>
    </w:p>
    <w:p>
      <w:pPr>
        <w:ind w:left="1740" w:right="880" w:hanging="543"/>
        <w:spacing w:after="0" w:line="308" w:lineRule="auto"/>
        <w:tabs>
          <w:tab w:leader="none" w:pos="174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any manufacturing process applied to the Original ARM Product or ARM Derivative Product by JVCo (or any of its Downstream Affiliates) if such infringement would not have occurred but for the application of such process;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349" w:name="page350"/>
    <w:bookmarkEnd w:id="349"/>
    <w:p>
      <w:pPr>
        <w:ind w:left="1180" w:hanging="647"/>
        <w:spacing w:after="0" w:line="25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16.3.4</w:t>
        <w:tab/>
        <w:t>any suit, counterclaim, countersuit or the equivalent thereof brought by a third party against JVCo (or any of its Downstream Affiliates) based upon a claim that any of the Original ARM Products or ARM Derivative Products delivered by ARM to JVCo under this Agreement infringes a patent owned or controlled by such third party where such claim has been made by such third party as a counterclaim to an initial claim by JVCo (or any of its Downstream Affiliates) that such third party (or its affiliates) infringes any patent owned or controlled by JVCo (or any of its Downstream Affiliates);</w:t>
      </w:r>
    </w:p>
    <w:p>
      <w:pPr>
        <w:spacing w:after="0" w:line="93" w:lineRule="exact"/>
        <w:rPr>
          <w:sz w:val="20"/>
          <w:szCs w:val="20"/>
          <w:color w:val="auto"/>
        </w:rPr>
      </w:pPr>
    </w:p>
    <w:p>
      <w:pPr>
        <w:ind w:left="1180" w:hanging="647"/>
        <w:spacing w:after="0" w:line="311" w:lineRule="auto"/>
        <w:tabs>
          <w:tab w:leader="none" w:pos="1160" w:val="left"/>
        </w:tabs>
        <w:rPr>
          <w:sz w:val="20"/>
          <w:szCs w:val="20"/>
          <w:color w:val="auto"/>
        </w:rPr>
      </w:pPr>
      <w:r>
        <w:rPr>
          <w:rFonts w:ascii="Arial" w:cs="Arial" w:eastAsia="Arial" w:hAnsi="Arial"/>
          <w:sz w:val="18"/>
          <w:szCs w:val="18"/>
          <w:color w:val="auto"/>
        </w:rPr>
        <w:t>16.3.5</w:t>
      </w:r>
      <w:r>
        <w:rPr>
          <w:sz w:val="20"/>
          <w:szCs w:val="20"/>
          <w:color w:val="auto"/>
        </w:rPr>
        <w:tab/>
      </w:r>
      <w:r>
        <w:rPr>
          <w:rFonts w:ascii="Arial" w:cs="Arial" w:eastAsia="Arial" w:hAnsi="Arial"/>
          <w:sz w:val="16"/>
          <w:szCs w:val="16"/>
          <w:color w:val="auto"/>
        </w:rPr>
        <w:t>any suit, counterclaim, countersuit or the equivalent thereof brought by a third party against JVCo (or any of its Downstream Affiliates) based upon a claim that any of the Original ARM Products or ARM Derivative Products delivered by ARM to JVCo under this Agreement infringes a patent owned or controlled by such third party where such claim is based on the implementation of a Standard; or</w:t>
      </w:r>
    </w:p>
    <w:p>
      <w:pPr>
        <w:spacing w:after="0" w:line="54"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Arial" w:cs="Arial" w:eastAsia="Arial" w:hAnsi="Arial"/>
          <w:sz w:val="18"/>
          <w:szCs w:val="18"/>
          <w:color w:val="auto"/>
        </w:rPr>
        <w:t>16.3.6</w:t>
        <w:tab/>
        <w:t>any suit, counterclaim, countersuit or the equivalent thereof brought by a third party against JVCo (or any of its Downstream Affiliates) based upon a claim that any of the Original ARM Products or ARM Derivative Products delivered by ARM to JVCo under this Agreement infringes an excluded patent group previously identified by ARM and notified to JVCo for the relevant Original ARM Product or ARM Derivative Product.</w:t>
      </w:r>
    </w:p>
    <w:p>
      <w:pPr>
        <w:spacing w:after="0" w:line="92"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Arial" w:cs="Arial" w:eastAsia="Arial" w:hAnsi="Arial"/>
          <w:sz w:val="18"/>
          <w:szCs w:val="18"/>
          <w:color w:val="auto"/>
        </w:rPr>
        <w:t>16.4</w:t>
        <w:tab/>
        <w:t>ARM shall not have any liability under Clause 16.1 or Clause 16.2 for any loss caused or damages awarded, for infringement by the ARM Brand Trade Marks, any Original ARM Product or any ARM Derivative Product of the Intellectual Property of a third party, after the date of issuance of a judgement in the relevant suit (whether a JVCo Infringement Suit or an Underlying JVCo Licensee Suit). ARM shall have no continuing liability under Clause 16.1 or Clause 16.2 for any loss suffered by JVCo or its Underlying JVCo Licensee in respect of the same infringement after the date of such judgment.</w:t>
      </w:r>
    </w:p>
    <w:p>
      <w:pPr>
        <w:spacing w:after="0" w:line="93" w:lineRule="exact"/>
        <w:rPr>
          <w:sz w:val="20"/>
          <w:szCs w:val="20"/>
          <w:color w:val="auto"/>
        </w:rPr>
      </w:pPr>
    </w:p>
    <w:p>
      <w:pPr>
        <w:ind w:left="540" w:right="320" w:hanging="539"/>
        <w:spacing w:after="0" w:line="286" w:lineRule="auto"/>
        <w:tabs>
          <w:tab w:leader="none" w:pos="5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ARM shall not be liable for the reasonable fees of attorneys under Clause 16.1 or Clause 16.2 unless there is a final determination by the adjudicator of the suit (whether a JVCo Infringement Suit or an Underlying JVCo Licensee Suit) that the ARM Brand Trade Marks, Original ARM Product or ARM Derivative Product infringes valid third party Intellectual Property asserted in such suit.</w:t>
      </w:r>
    </w:p>
    <w:p>
      <w:pPr>
        <w:spacing w:after="0" w:line="71" w:lineRule="exact"/>
        <w:rPr>
          <w:sz w:val="20"/>
          <w:szCs w:val="20"/>
          <w:color w:val="auto"/>
        </w:rPr>
      </w:pPr>
    </w:p>
    <w:p>
      <w:pPr>
        <w:ind w:left="540" w:right="220" w:hanging="539"/>
        <w:spacing w:after="0" w:line="301" w:lineRule="auto"/>
        <w:tabs>
          <w:tab w:leader="none" w:pos="52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If either a third party alleges, or ARM has any concerns, that any Original ARM Product, ARM Derivative Product or Derivative Product infringes or may infringe the Intellectual Property of a third party, then without any admission of liability, ARM at its option and expense may develop an ARM Update to the relevant Original ARM Product or ARM Derivative Product which in ARM’s opinion avoids such alleged infringement and upon receipt of such ARM Update from ARM, JVCo shall (and shall procure that its Downstream Affiliates shall):</w:t>
      </w:r>
    </w:p>
    <w:p>
      <w:pPr>
        <w:spacing w:after="0" w:line="63" w:lineRule="exact"/>
        <w:rPr>
          <w:sz w:val="20"/>
          <w:szCs w:val="20"/>
          <w:color w:val="auto"/>
        </w:rPr>
      </w:pPr>
    </w:p>
    <w:p>
      <w:pPr>
        <w:ind w:left="1180" w:right="620" w:hanging="647"/>
        <w:spacing w:after="0" w:line="308" w:lineRule="auto"/>
        <w:tabs>
          <w:tab w:leader="none" w:pos="1160" w:val="left"/>
        </w:tabs>
        <w:rPr>
          <w:sz w:val="20"/>
          <w:szCs w:val="20"/>
          <w:color w:val="auto"/>
        </w:rPr>
      </w:pPr>
      <w:r>
        <w:rPr>
          <w:rFonts w:ascii="Arial" w:cs="Arial" w:eastAsia="Arial" w:hAnsi="Arial"/>
          <w:sz w:val="18"/>
          <w:szCs w:val="18"/>
          <w:color w:val="auto"/>
        </w:rPr>
        <w:t>16.6.1</w:t>
      </w:r>
      <w:r>
        <w:rPr>
          <w:sz w:val="20"/>
          <w:szCs w:val="20"/>
          <w:color w:val="auto"/>
        </w:rPr>
        <w:tab/>
      </w:r>
      <w:r>
        <w:rPr>
          <w:rFonts w:ascii="Arial" w:cs="Arial" w:eastAsia="Arial" w:hAnsi="Arial"/>
          <w:sz w:val="17"/>
          <w:szCs w:val="17"/>
          <w:color w:val="auto"/>
        </w:rPr>
        <w:t>in respect of any new design or derivatives of any existing designs which have not been taped out, immediately cease use of the Original ARM Product, ARM Derivative Product or Derivative Product which the ARM Update replaces;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350" w:name="page351"/>
    <w:bookmarkEnd w:id="350"/>
    <w:p>
      <w:pPr>
        <w:ind w:left="1184" w:right="440" w:hanging="647"/>
        <w:spacing w:after="0" w:line="308"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16.6.2</w:t>
      </w:r>
      <w:r>
        <w:rPr>
          <w:sz w:val="20"/>
          <w:szCs w:val="20"/>
          <w:color w:val="auto"/>
        </w:rPr>
        <w:tab/>
      </w:r>
      <w:r>
        <w:rPr>
          <w:rFonts w:ascii="Arial" w:cs="Arial" w:eastAsia="Arial" w:hAnsi="Arial"/>
          <w:sz w:val="17"/>
          <w:szCs w:val="17"/>
          <w:color w:val="auto"/>
        </w:rPr>
        <w:t>in respect of any existing designs which have been taped out, within [***] months of receipt of the ARM Update, cease use of the Original ARM Product, ARM Derivative Product or Derivative Product which the ARM Update replaces.</w:t>
      </w:r>
    </w:p>
    <w:p>
      <w:pPr>
        <w:spacing w:after="0" w:line="52" w:lineRule="exact"/>
        <w:rPr>
          <w:sz w:val="20"/>
          <w:szCs w:val="20"/>
          <w:color w:val="auto"/>
        </w:rPr>
      </w:pPr>
    </w:p>
    <w:p>
      <w:pPr>
        <w:jc w:val="both"/>
        <w:ind w:left="544" w:right="320" w:hanging="539"/>
        <w:spacing w:after="0" w:line="275" w:lineRule="auto"/>
        <w:tabs>
          <w:tab w:leader="none" w:pos="524"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color w:val="auto"/>
        </w:rPr>
        <w:t>If a suit against ARM is based in whole or in part upon a claim that any of the ARM Semiconductor Technology delivered by ARM to JVCo under this Agreement, when used in accordance with this Agreement, infringes any third party Intellectual Property as a result of any of the activities listed at Clause 16.3 above, JVCo agrees to indemnify ARM for any legal costs (including attorney’s fees) reasonably incurred by ARM in defending such suit provided that JVCo is notified promptly in writing of the suit and that at JVCo’s written request, JVCo is given control of and all requested reasonable assistance to defend such suit.</w:t>
      </w:r>
    </w:p>
    <w:p>
      <w:pPr>
        <w:spacing w:after="0" w:line="321" w:lineRule="exact"/>
        <w:rPr>
          <w:sz w:val="20"/>
          <w:szCs w:val="20"/>
          <w:color w:val="auto"/>
        </w:rPr>
      </w:pPr>
    </w:p>
    <w:p>
      <w:pPr>
        <w:ind w:left="544" w:hanging="544"/>
        <w:spacing w:after="0"/>
        <w:tabs>
          <w:tab w:leader="none" w:pos="54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JVCO WARRANTIES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Functionality Warranties</w:t>
      </w:r>
    </w:p>
    <w:p>
      <w:pPr>
        <w:spacing w:after="0" w:line="131" w:lineRule="exact"/>
        <w:rPr>
          <w:sz w:val="20"/>
          <w:szCs w:val="20"/>
          <w:color w:val="auto"/>
        </w:rPr>
      </w:pPr>
    </w:p>
    <w:p>
      <w:pPr>
        <w:ind w:left="1184" w:right="440" w:hanging="647"/>
        <w:spacing w:after="0" w:line="277" w:lineRule="auto"/>
        <w:tabs>
          <w:tab w:leader="none" w:pos="1164" w:val="left"/>
        </w:tabs>
        <w:rPr>
          <w:sz w:val="20"/>
          <w:szCs w:val="20"/>
          <w:color w:val="auto"/>
        </w:rPr>
      </w:pPr>
      <w:r>
        <w:rPr>
          <w:rFonts w:ascii="Arial" w:cs="Arial" w:eastAsia="Arial" w:hAnsi="Arial"/>
          <w:sz w:val="18"/>
          <w:szCs w:val="18"/>
          <w:color w:val="auto"/>
        </w:rPr>
        <w:t>17.1.1</w:t>
        <w:tab/>
        <w:t>JVCo warrants to ARM that all deliverables provided by JVCo in accordance with Clauses 13.3 and 13.4 will be substantially and materially the same as the Semiconductor Technology used and updated in JVCo’s own operations.</w:t>
      </w:r>
    </w:p>
    <w:p>
      <w:pPr>
        <w:spacing w:after="0" w:line="76" w:lineRule="exact"/>
        <w:rPr>
          <w:sz w:val="20"/>
          <w:szCs w:val="20"/>
          <w:color w:val="auto"/>
        </w:rPr>
      </w:pPr>
    </w:p>
    <w:p>
      <w:pPr>
        <w:jc w:val="center"/>
        <w:ind w:left="500"/>
        <w:spacing w:after="0"/>
        <w:tabs>
          <w:tab w:leader="none" w:pos="18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color w:val="auto"/>
        </w:rPr>
        <w:t>JVCo warrants to ARM that the Derivative Products and Independent Products in respect of which JVCo Licensed IP is licensed will be</w:t>
      </w:r>
    </w:p>
    <w:p>
      <w:pPr>
        <w:spacing w:after="0" w:line="23" w:lineRule="exact"/>
        <w:rPr>
          <w:sz w:val="20"/>
          <w:szCs w:val="20"/>
          <w:color w:val="auto"/>
        </w:rPr>
      </w:pPr>
    </w:p>
    <w:p>
      <w:pPr>
        <w:ind w:left="1184" w:right="680"/>
        <w:spacing w:after="0" w:line="260" w:lineRule="auto"/>
        <w:rPr>
          <w:sz w:val="20"/>
          <w:szCs w:val="20"/>
          <w:color w:val="auto"/>
        </w:rPr>
      </w:pPr>
      <w:r>
        <w:rPr>
          <w:rFonts w:ascii="Arial" w:cs="Arial" w:eastAsia="Arial" w:hAnsi="Arial"/>
          <w:sz w:val="18"/>
          <w:szCs w:val="18"/>
          <w:color w:val="auto"/>
        </w:rPr>
        <w:t>consistent with allowing a competent semiconductor manufacturer to manufacture products which substantially conform to the functionality described in the relevant specification delivered by JVCo to ARM.</w:t>
      </w:r>
    </w:p>
    <w:p>
      <w:pPr>
        <w:spacing w:after="0" w:line="91" w:lineRule="exact"/>
        <w:rPr>
          <w:sz w:val="20"/>
          <w:szCs w:val="20"/>
          <w:color w:val="auto"/>
        </w:rPr>
      </w:pPr>
    </w:p>
    <w:p>
      <w:pPr>
        <w:ind w:left="1184" w:hanging="647"/>
        <w:spacing w:after="0" w:line="255" w:lineRule="auto"/>
        <w:tabs>
          <w:tab w:leader="none" w:pos="1164" w:val="left"/>
        </w:tabs>
        <w:rPr>
          <w:sz w:val="20"/>
          <w:szCs w:val="20"/>
          <w:color w:val="auto"/>
        </w:rPr>
      </w:pPr>
      <w:r>
        <w:rPr>
          <w:rFonts w:ascii="Arial" w:cs="Arial" w:eastAsia="Arial" w:hAnsi="Arial"/>
          <w:sz w:val="18"/>
          <w:szCs w:val="18"/>
          <w:color w:val="auto"/>
        </w:rPr>
        <w:t>17.1.3</w:t>
        <w:tab/>
        <w:t>ARM acknowledges that the process for converting the Derivative Products and Independent Products delivered to ARM into silicon necessarily involves the introduction and use of technology not delivered by JVCo and accordingly JVCo’s liability and ARM’s sole remedy for breach of the warranty provided under Clause 17.1.2 shall be as follows: if ARM can demonstrate to JVCo that any defect that is manifested or would be manifested in the silicon of a product developed using any Derivative Product or Independent Product is caused by a defect in the Derivative Product or Independent Product as delivered to ARM then JVCo shall use commercially reasonable efforts to either or both:</w:t>
      </w:r>
    </w:p>
    <w:p>
      <w:pPr>
        <w:spacing w:after="0" w:line="219" w:lineRule="exact"/>
        <w:rPr>
          <w:sz w:val="20"/>
          <w:szCs w:val="20"/>
          <w:color w:val="auto"/>
        </w:rPr>
      </w:pPr>
    </w:p>
    <w:p>
      <w:pPr>
        <w:ind w:left="1744" w:right="20" w:hanging="543"/>
        <w:spacing w:after="0" w:line="277" w:lineRule="auto"/>
        <w:tabs>
          <w:tab w:leader="none" w:pos="17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correct any errors in the Derivative Product or Independent Product and deliver the corrected Derivative Product or Independent Product to ARM; or</w:t>
      </w:r>
    </w:p>
    <w:p>
      <w:pPr>
        <w:spacing w:after="0" w:line="197" w:lineRule="exact"/>
        <w:rPr>
          <w:rFonts w:ascii="Arial" w:cs="Arial" w:eastAsia="Arial" w:hAnsi="Arial"/>
          <w:sz w:val="18"/>
          <w:szCs w:val="18"/>
          <w:color w:val="auto"/>
        </w:rPr>
      </w:pPr>
    </w:p>
    <w:p>
      <w:pPr>
        <w:ind w:left="1744" w:hanging="543"/>
        <w:spacing w:after="0"/>
        <w:tabs>
          <w:tab w:leader="none" w:pos="174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create a workaround to remedy the defect and deliver such workaround to ARM,</w:t>
      </w:r>
    </w:p>
    <w:p>
      <w:pPr>
        <w:spacing w:after="0" w:line="117" w:lineRule="exact"/>
        <w:rPr>
          <w:sz w:val="20"/>
          <w:szCs w:val="20"/>
          <w:color w:val="auto"/>
        </w:rPr>
      </w:pPr>
    </w:p>
    <w:p>
      <w:pPr>
        <w:ind w:left="1204" w:right="220"/>
        <w:spacing w:after="0" w:line="308" w:lineRule="auto"/>
        <w:rPr>
          <w:sz w:val="20"/>
          <w:szCs w:val="20"/>
          <w:color w:val="auto"/>
        </w:rPr>
      </w:pPr>
      <w:r>
        <w:rPr>
          <w:rFonts w:ascii="Arial" w:cs="Arial" w:eastAsia="Arial" w:hAnsi="Arial"/>
          <w:sz w:val="17"/>
          <w:szCs w:val="17"/>
          <w:color w:val="auto"/>
        </w:rPr>
        <w:t>provided that JVCo shall have no liability (and ARM shall have no remedy) for any such defect in a Derivative Product where JVCo can demonstrate that the defect is caused by an Original ARM Product that subsists in the Derivative Product.</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4"/>
          </w:cols>
          <w:pgMar w:left="436" w:top="274" w:right="479" w:bottom="1440" w:gutter="0" w:footer="0" w:header="0"/>
        </w:sectPr>
      </w:pPr>
    </w:p>
    <w:bookmarkStart w:id="351" w:name="page352"/>
    <w:bookmarkEnd w:id="351"/>
    <w:p>
      <w:pPr>
        <w:ind w:left="120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states the entire liability of JVCo with respect to breach of the warranty provided in Clause 17.1.3.</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6"/>
          <w:szCs w:val="16"/>
          <w:color w:val="auto"/>
        </w:rPr>
        <w:t>JVCo warrants, to JVCo’s knowledge and belief, that:</w:t>
      </w:r>
    </w:p>
    <w:p>
      <w:pPr>
        <w:spacing w:after="0" w:line="131" w:lineRule="exact"/>
        <w:rPr>
          <w:sz w:val="20"/>
          <w:szCs w:val="20"/>
          <w:color w:val="auto"/>
        </w:rPr>
      </w:pPr>
    </w:p>
    <w:p>
      <w:pPr>
        <w:ind w:left="1744" w:right="60" w:hanging="543"/>
        <w:spacing w:after="0" w:line="277" w:lineRule="auto"/>
        <w:tabs>
          <w:tab w:leader="none" w:pos="174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JVCo is the owner of the JVCo Licensed IP or otherwise has the right to grant the rights and licenses in such JVCo Licensed IP to ARM in accordance with the terms of this Agreement;</w:t>
      </w:r>
    </w:p>
    <w:p>
      <w:pPr>
        <w:spacing w:after="0" w:line="75" w:lineRule="exact"/>
        <w:rPr>
          <w:rFonts w:ascii="Arial" w:cs="Arial" w:eastAsia="Arial" w:hAnsi="Arial"/>
          <w:sz w:val="18"/>
          <w:szCs w:val="18"/>
          <w:color w:val="auto"/>
        </w:rPr>
      </w:pPr>
    </w:p>
    <w:p>
      <w:pPr>
        <w:jc w:val="both"/>
        <w:ind w:left="1744" w:right="120" w:hanging="543"/>
        <w:spacing w:after="0" w:line="263" w:lineRule="auto"/>
        <w:tabs>
          <w:tab w:leader="none" w:pos="174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JVCo Licensed IP constitutes all Intellectual Property Controlled by the JVCo Group that: (a) is developed by, or on behalf of the JVCo Group, and licensed, provided, or made available, by the JVCo Group; and (b) subsists in the Derivative Products and Independent Products; and</w:t>
      </w:r>
    </w:p>
    <w:p>
      <w:pPr>
        <w:spacing w:after="0" w:line="89" w:lineRule="exact"/>
        <w:rPr>
          <w:rFonts w:ascii="Arial" w:cs="Arial" w:eastAsia="Arial" w:hAnsi="Arial"/>
          <w:sz w:val="18"/>
          <w:szCs w:val="18"/>
          <w:color w:val="auto"/>
        </w:rPr>
      </w:pPr>
    </w:p>
    <w:p>
      <w:pPr>
        <w:ind w:left="1744" w:hanging="543"/>
        <w:spacing w:after="0" w:line="277" w:lineRule="auto"/>
        <w:tabs>
          <w:tab w:leader="none" w:pos="174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Derivative Products and the Independent Products do not infringe, misappropriate or violate any third party Copyright, mask work right or Trade Secret.</w:t>
      </w:r>
    </w:p>
    <w:p>
      <w:pPr>
        <w:spacing w:after="0" w:line="76" w:lineRule="exact"/>
        <w:rPr>
          <w:sz w:val="20"/>
          <w:szCs w:val="20"/>
          <w:color w:val="auto"/>
        </w:rPr>
      </w:pPr>
    </w:p>
    <w:p>
      <w:pPr>
        <w:ind w:left="1184" w:right="20" w:hanging="647"/>
        <w:spacing w:after="0" w:line="279" w:lineRule="auto"/>
        <w:tabs>
          <w:tab w:leader="none" w:pos="1164"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7"/>
          <w:szCs w:val="17"/>
          <w:color w:val="auto"/>
        </w:rPr>
        <w:t>Except as expressly provided in this Clause 17, JVCo provides no express, implied or statutory warranties, including without limitation, the implied warranties of merchantability, satisfactory quality, non-infringement or fitness for a particular purpose with respect to Derivative Products or Independent Products. All warranties implied by Applicable Law (whether by statute or common law or through trade custom or practice or otherwise) are excluded to the maximum extent permitted by Applicable Law.</w:t>
      </w:r>
    </w:p>
    <w:p>
      <w:pPr>
        <w:spacing w:after="0" w:line="316" w:lineRule="exact"/>
        <w:rPr>
          <w:sz w:val="20"/>
          <w:szCs w:val="20"/>
          <w:color w:val="auto"/>
        </w:rPr>
      </w:pPr>
    </w:p>
    <w:p>
      <w:pPr>
        <w:ind w:left="544" w:hanging="544"/>
        <w:spacing w:after="0"/>
        <w:tabs>
          <w:tab w:leader="none" w:pos="54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JVCO INDEMNIFICATION</w:t>
      </w:r>
    </w:p>
    <w:p>
      <w:pPr>
        <w:spacing w:after="0" w:line="135" w:lineRule="exact"/>
        <w:rPr>
          <w:sz w:val="20"/>
          <w:szCs w:val="20"/>
          <w:color w:val="auto"/>
        </w:rPr>
      </w:pPr>
    </w:p>
    <w:p>
      <w:pPr>
        <w:ind w:left="544" w:right="40" w:hanging="539"/>
        <w:spacing w:after="0" w:line="271" w:lineRule="auto"/>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Except as provided under Clauses 18.3, 18.4 and 18.5, in the event of a law suit, administrative proceedings or similar action against any member of the ARM Group (excluding an ARM Licensee Indemnity Claim) based upon a claim that any of the Derivative Products or Independent Products as delivered by JVCo to the ARM Group under this Agreement, when used by any member of the ARM Group in accordance with the provisions of this Agreement, infringe any third party Intellectual Property (an “</w:t>
      </w:r>
      <w:r>
        <w:rPr>
          <w:rFonts w:ascii="Arial" w:cs="Arial" w:eastAsia="Arial" w:hAnsi="Arial"/>
          <w:sz w:val="17"/>
          <w:szCs w:val="17"/>
          <w:b w:val="1"/>
          <w:bCs w:val="1"/>
          <w:color w:val="auto"/>
        </w:rPr>
        <w:t>ARM Infringement Suit</w:t>
      </w:r>
      <w:r>
        <w:rPr>
          <w:rFonts w:ascii="Arial" w:cs="Arial" w:eastAsia="Arial" w:hAnsi="Arial"/>
          <w:sz w:val="17"/>
          <w:szCs w:val="17"/>
          <w:color w:val="auto"/>
        </w:rPr>
        <w:t>”), JVCo agrees, subject to the limitations of the rest of this Clause 18 and Clause 20, to pay for the reasonable fees paid to third party attorneys to defend the suit and damages and costs finally awarded by the court in any such suit or for any amount paid in any settlement of any such suit but in each case, only to the extent that such fees, damages, costs or amounts paid in settlement relate to the ARM Infringement Suit against the Derivative Products or Independent Product, provided that:</w:t>
      </w:r>
    </w:p>
    <w:p>
      <w:pPr>
        <w:spacing w:after="0" w:line="84"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JVCo is promptly notified by ARM, in writing, of any and all threats, claims and proceedings related to the claim;</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JVCo has sole control of the defence and any settlement of the ARM Infringement Suit;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4"/>
          </w:cols>
          <w:pgMar w:left="436" w:top="274" w:right="479" w:bottom="1440" w:gutter="0" w:footer="0" w:header="0"/>
        </w:sectPr>
      </w:pPr>
    </w:p>
    <w:bookmarkStart w:id="352" w:name="page353"/>
    <w:bookmarkEnd w:id="352"/>
    <w:p>
      <w:pPr>
        <w:ind w:left="1160" w:right="260" w:hanging="647"/>
        <w:spacing w:after="0" w:line="277" w:lineRule="auto"/>
        <w:tabs>
          <w:tab w:leader="none" w:pos="1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18.1.3</w:t>
        <w:tab/>
        <w:t>the ARM Group does not make any admission of liability nor settle or otherwise compromise the claim without JVCo’s prior written consent;</w:t>
      </w:r>
    </w:p>
    <w:p>
      <w:pPr>
        <w:spacing w:after="0" w:line="76"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color w:val="auto"/>
        </w:rPr>
        <w:t>ARM furnishes to JVCo, upon request, any information available to ARM relating to the claim;</w:t>
      </w:r>
    </w:p>
    <w:p>
      <w:pPr>
        <w:spacing w:after="0" w:line="131"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color w:val="auto"/>
        </w:rPr>
        <w:t>ARM provides reasonable assistance to enable JVCo to control the defence of the ARM Infringement Suit; and</w:t>
      </w:r>
    </w:p>
    <w:p>
      <w:pPr>
        <w:spacing w:after="0" w:line="131" w:lineRule="exact"/>
        <w:rPr>
          <w:sz w:val="20"/>
          <w:szCs w:val="20"/>
          <w:color w:val="auto"/>
        </w:rPr>
      </w:pPr>
    </w:p>
    <w:p>
      <w:pPr>
        <w:ind w:left="1160" w:right="160" w:hanging="647"/>
        <w:spacing w:after="0" w:line="277" w:lineRule="auto"/>
        <w:tabs>
          <w:tab w:leader="none" w:pos="1140" w:val="left"/>
        </w:tabs>
        <w:rPr>
          <w:sz w:val="20"/>
          <w:szCs w:val="20"/>
          <w:color w:val="auto"/>
        </w:rPr>
      </w:pPr>
      <w:r>
        <w:rPr>
          <w:rFonts w:ascii="Arial" w:cs="Arial" w:eastAsia="Arial" w:hAnsi="Arial"/>
          <w:sz w:val="18"/>
          <w:szCs w:val="18"/>
          <w:color w:val="auto"/>
        </w:rPr>
        <w:t>18.1.6</w:t>
        <w:tab/>
        <w:t>the ARM Group ceases use of the Derivative Products or Independent Product which is the subject of the suit upon receipt from JVCo of any non-infringing replacement for such Derivative Products or Independent Product.</w:t>
      </w:r>
    </w:p>
    <w:p>
      <w:pPr>
        <w:spacing w:after="0" w:line="76" w:lineRule="exact"/>
        <w:rPr>
          <w:sz w:val="20"/>
          <w:szCs w:val="20"/>
          <w:color w:val="auto"/>
        </w:rPr>
      </w:pPr>
    </w:p>
    <w:p>
      <w:pPr>
        <w:ind w:left="520" w:hanging="539"/>
        <w:spacing w:after="0" w:line="269" w:lineRule="auto"/>
        <w:tabs>
          <w:tab w:leader="none" w:pos="50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Except as provided under Clauses 18.3, 18.4, and 18.5, in the event of an indemnification claim brought against any member of the ARM Group by a Non-PRC Licensee (the “</w:t>
      </w:r>
      <w:r>
        <w:rPr>
          <w:rFonts w:ascii="Arial" w:cs="Arial" w:eastAsia="Arial" w:hAnsi="Arial"/>
          <w:sz w:val="17"/>
          <w:szCs w:val="17"/>
          <w:b w:val="1"/>
          <w:bCs w:val="1"/>
          <w:color w:val="auto"/>
        </w:rPr>
        <w:t>Underlying ARM Licensee</w:t>
      </w:r>
      <w:r>
        <w:rPr>
          <w:rFonts w:ascii="Arial" w:cs="Arial" w:eastAsia="Arial" w:hAnsi="Arial"/>
          <w:sz w:val="17"/>
          <w:szCs w:val="17"/>
          <w:color w:val="auto"/>
        </w:rPr>
        <w:t>”) with respect to a law suit, administrative proceeding or similar action against the Underlying ARM Licensee (the “</w:t>
      </w:r>
      <w:r>
        <w:rPr>
          <w:rFonts w:ascii="Arial" w:cs="Arial" w:eastAsia="Arial" w:hAnsi="Arial"/>
          <w:sz w:val="17"/>
          <w:szCs w:val="17"/>
          <w:b w:val="1"/>
          <w:bCs w:val="1"/>
          <w:color w:val="auto"/>
        </w:rPr>
        <w:t>Underlying ARM Licensee Suit</w:t>
      </w:r>
      <w:r>
        <w:rPr>
          <w:rFonts w:ascii="Arial" w:cs="Arial" w:eastAsia="Arial" w:hAnsi="Arial"/>
          <w:sz w:val="17"/>
          <w:szCs w:val="17"/>
          <w:color w:val="auto"/>
        </w:rPr>
        <w:t>”) based upon a claim that any of the Derivative Products or Independent Products as delivered by the ARM Group to the Underlying ARM Licensee under the relevant license agreement, when used by the Underlying ARM Licensee in accordance with the provisions of that license agreement, infringe any third party Intellectual Property (an “</w:t>
      </w:r>
      <w:r>
        <w:rPr>
          <w:rFonts w:ascii="Arial" w:cs="Arial" w:eastAsia="Arial" w:hAnsi="Arial"/>
          <w:sz w:val="17"/>
          <w:szCs w:val="17"/>
          <w:b w:val="1"/>
          <w:bCs w:val="1"/>
          <w:color w:val="auto"/>
        </w:rPr>
        <w:t>ARM Licensee</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Indemnity Claim</w:t>
      </w:r>
      <w:r>
        <w:rPr>
          <w:rFonts w:ascii="Arial" w:cs="Arial" w:eastAsia="Arial" w:hAnsi="Arial"/>
          <w:sz w:val="17"/>
          <w:szCs w:val="17"/>
          <w:color w:val="auto"/>
        </w:rPr>
        <w:t>”), JVCo agrees, subject to the limitations of the rest of this Clause 18 and Clause 20, to pay for the reasonable fees paid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ARM Licensee to third party attorneys to defend the Underlying ARM Licensee Suit and damages and costs finally awarded by the court in any such Underlying ARM Licensee Suit or for any amounts paid in any settlement of any such Underlying ARM Licensee Suit but in each case, only to the extent that such fees, damages, costs or amounts paid in settlement relate to the Underlying ARM Licensee Suit against the Derivative Product or Independent Product, provided that:</w:t>
      </w:r>
    </w:p>
    <w:p>
      <w:pPr>
        <w:spacing w:after="0" w:line="91" w:lineRule="exact"/>
        <w:rPr>
          <w:sz w:val="20"/>
          <w:szCs w:val="20"/>
          <w:color w:val="auto"/>
        </w:rPr>
      </w:pPr>
    </w:p>
    <w:p>
      <w:pPr>
        <w:ind w:left="1160" w:right="280" w:hanging="647"/>
        <w:spacing w:after="0" w:line="277" w:lineRule="auto"/>
        <w:tabs>
          <w:tab w:leader="none" w:pos="1140" w:val="left"/>
        </w:tabs>
        <w:rPr>
          <w:sz w:val="20"/>
          <w:szCs w:val="20"/>
          <w:color w:val="auto"/>
        </w:rPr>
      </w:pPr>
      <w:r>
        <w:rPr>
          <w:rFonts w:ascii="Arial" w:cs="Arial" w:eastAsia="Arial" w:hAnsi="Arial"/>
          <w:sz w:val="18"/>
          <w:szCs w:val="18"/>
          <w:color w:val="auto"/>
        </w:rPr>
        <w:t>18.2.1</w:t>
        <w:tab/>
        <w:t>ARM is promptly notified by the Underlying ARM Licensee, in writing, of any and all threats, claims and proceedings related to the Underlying ARM Licensee Suit;</w:t>
      </w:r>
    </w:p>
    <w:p>
      <w:pPr>
        <w:spacing w:after="0" w:line="76" w:lineRule="exact"/>
        <w:rPr>
          <w:sz w:val="20"/>
          <w:szCs w:val="20"/>
          <w:color w:val="auto"/>
        </w:rPr>
      </w:pPr>
    </w:p>
    <w:p>
      <w:pPr>
        <w:ind w:left="1160" w:right="220" w:hanging="647"/>
        <w:spacing w:after="0" w:line="277" w:lineRule="auto"/>
        <w:tabs>
          <w:tab w:leader="none" w:pos="1140" w:val="left"/>
        </w:tabs>
        <w:rPr>
          <w:sz w:val="20"/>
          <w:szCs w:val="20"/>
          <w:color w:val="auto"/>
        </w:rPr>
      </w:pPr>
      <w:r>
        <w:rPr>
          <w:rFonts w:ascii="Arial" w:cs="Arial" w:eastAsia="Arial" w:hAnsi="Arial"/>
          <w:sz w:val="18"/>
          <w:szCs w:val="18"/>
          <w:color w:val="auto"/>
        </w:rPr>
        <w:t>18.2.2</w:t>
        <w:tab/>
        <w:t>JVCo is promptly thereafter notified by ARM, in writing, of any and all threats, claims and proceedings related to the ARM Licensee Indemnity Claim;</w:t>
      </w:r>
    </w:p>
    <w:p>
      <w:pPr>
        <w:spacing w:after="0" w:line="76"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18.2.3</w:t>
      </w:r>
      <w:r>
        <w:rPr>
          <w:sz w:val="20"/>
          <w:szCs w:val="20"/>
          <w:color w:val="auto"/>
        </w:rPr>
        <w:tab/>
      </w:r>
      <w:r>
        <w:rPr>
          <w:rFonts w:ascii="Arial" w:cs="Arial" w:eastAsia="Arial" w:hAnsi="Arial"/>
          <w:sz w:val="16"/>
          <w:szCs w:val="16"/>
          <w:color w:val="auto"/>
        </w:rPr>
        <w:t>JVCo has sole control of the defence and any settlement of the Underlying ARM Licensee Suit;</w:t>
      </w:r>
    </w:p>
    <w:p>
      <w:pPr>
        <w:spacing w:after="0" w:line="131" w:lineRule="exact"/>
        <w:rPr>
          <w:sz w:val="20"/>
          <w:szCs w:val="20"/>
          <w:color w:val="auto"/>
        </w:rPr>
      </w:pPr>
    </w:p>
    <w:p>
      <w:pPr>
        <w:ind w:left="1160" w:right="20" w:hanging="647"/>
        <w:spacing w:after="0" w:line="277" w:lineRule="auto"/>
        <w:tabs>
          <w:tab w:leader="none" w:pos="1140" w:val="left"/>
        </w:tabs>
        <w:rPr>
          <w:sz w:val="20"/>
          <w:szCs w:val="20"/>
          <w:color w:val="auto"/>
        </w:rPr>
      </w:pPr>
      <w:r>
        <w:rPr>
          <w:rFonts w:ascii="Arial" w:cs="Arial" w:eastAsia="Arial" w:hAnsi="Arial"/>
          <w:sz w:val="18"/>
          <w:szCs w:val="18"/>
          <w:color w:val="auto"/>
        </w:rPr>
        <w:t>18.2.4</w:t>
        <w:tab/>
        <w:t>neither the ARM Group nor the Underlying ARM Licensee may make any admission of liability nor settle or otherwise compromise the Underlying ARM Licensee Suit without ARM’s prior written consent;</w:t>
      </w:r>
    </w:p>
    <w:p>
      <w:pPr>
        <w:spacing w:after="0" w:line="76" w:lineRule="exact"/>
        <w:rPr>
          <w:sz w:val="20"/>
          <w:szCs w:val="20"/>
          <w:color w:val="auto"/>
        </w:rPr>
      </w:pPr>
    </w:p>
    <w:p>
      <w:pPr>
        <w:ind w:left="1160" w:right="700" w:hanging="647"/>
        <w:spacing w:after="0" w:line="277" w:lineRule="auto"/>
        <w:tabs>
          <w:tab w:leader="none" w:pos="1140" w:val="left"/>
        </w:tabs>
        <w:rPr>
          <w:sz w:val="20"/>
          <w:szCs w:val="20"/>
          <w:color w:val="auto"/>
        </w:rPr>
      </w:pPr>
      <w:r>
        <w:rPr>
          <w:rFonts w:ascii="Arial" w:cs="Arial" w:eastAsia="Arial" w:hAnsi="Arial"/>
          <w:sz w:val="18"/>
          <w:szCs w:val="18"/>
          <w:color w:val="auto"/>
        </w:rPr>
        <w:t>18.2.5</w:t>
        <w:tab/>
        <w:t>the ARM Group and the Underlying ARM Licensee furnish to JVCo, upon request, any information available to ARM and the Underlying ARM Licensee relating to the Underlying ARM Licensee Suit;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60" w:top="274" w:right="459" w:bottom="1440" w:gutter="0" w:footer="0" w:header="0"/>
        </w:sectPr>
      </w:pPr>
    </w:p>
    <w:bookmarkStart w:id="353" w:name="page354"/>
    <w:bookmarkEnd w:id="353"/>
    <w:p>
      <w:pPr>
        <w:ind w:left="1180" w:right="10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18.2.6</w:t>
        <w:tab/>
        <w:t>ARM and the Underlying ARM Licensee provide reasonable assistance to enable JVCo to control the defence of the Underlying ARM Licensee Suit; and</w:t>
      </w:r>
    </w:p>
    <w:p>
      <w:pPr>
        <w:spacing w:after="0" w:line="76" w:lineRule="exact"/>
        <w:rPr>
          <w:sz w:val="20"/>
          <w:szCs w:val="20"/>
          <w:color w:val="auto"/>
        </w:rPr>
      </w:pPr>
    </w:p>
    <w:p>
      <w:pPr>
        <w:jc w:val="both"/>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18.2.7</w:t>
        <w:tab/>
        <w:t>ARM ceases use, and procures that the Underlying ARM Licensee ceases use, of the Derivative Product or Independent Product which is the subject of the suit upon receipt from ARM of any non-infringing replacement for such Original ARM Product or ARM Derivative Product.</w:t>
      </w:r>
    </w:p>
    <w:p>
      <w:pPr>
        <w:spacing w:after="0" w:line="76" w:lineRule="exact"/>
        <w:rPr>
          <w:sz w:val="20"/>
          <w:szCs w:val="20"/>
          <w:color w:val="auto"/>
        </w:rPr>
      </w:pPr>
    </w:p>
    <w:p>
      <w:pPr>
        <w:ind w:left="760" w:right="60"/>
        <w:spacing w:after="0" w:line="277" w:lineRule="auto"/>
        <w:rPr>
          <w:sz w:val="20"/>
          <w:szCs w:val="20"/>
          <w:color w:val="auto"/>
        </w:rPr>
      </w:pPr>
      <w:r>
        <w:rPr>
          <w:rFonts w:ascii="Arial" w:cs="Arial" w:eastAsia="Arial" w:hAnsi="Arial"/>
          <w:sz w:val="18"/>
          <w:szCs w:val="18"/>
          <w:color w:val="auto"/>
        </w:rPr>
        <w:t>Clauses 18.1 and 18.2 state the entire liability of JVCo with respect to infringement by the Derivative Product or Independent Product of any third party Intellectual Property.</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JVCo shall have no liability under Clauses 18.1 or 18.2, in respect of:</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18.3.1</w:t>
      </w:r>
      <w:r>
        <w:rPr>
          <w:sz w:val="20"/>
          <w:szCs w:val="20"/>
          <w:color w:val="auto"/>
        </w:rPr>
        <w:tab/>
      </w:r>
      <w:r>
        <w:rPr>
          <w:rFonts w:ascii="Arial" w:cs="Arial" w:eastAsia="Arial" w:hAnsi="Arial"/>
          <w:sz w:val="16"/>
          <w:szCs w:val="16"/>
          <w:color w:val="auto"/>
        </w:rPr>
        <w:t>the licensing of any Derivative Product or Independent Product in breach of the restriction set out at Clause 8.7;</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18.3.2</w:t>
      </w:r>
      <w:r>
        <w:rPr>
          <w:sz w:val="20"/>
          <w:szCs w:val="20"/>
          <w:color w:val="auto"/>
        </w:rPr>
        <w:tab/>
      </w:r>
      <w:r>
        <w:rPr>
          <w:rFonts w:ascii="Arial" w:cs="Arial" w:eastAsia="Arial" w:hAnsi="Arial"/>
          <w:sz w:val="16"/>
          <w:szCs w:val="16"/>
          <w:color w:val="auto"/>
        </w:rPr>
        <w:t>any infringement arising from:</w:t>
      </w:r>
    </w:p>
    <w:p>
      <w:pPr>
        <w:spacing w:after="0" w:line="252" w:lineRule="exact"/>
        <w:rPr>
          <w:sz w:val="20"/>
          <w:szCs w:val="20"/>
          <w:color w:val="auto"/>
        </w:rPr>
      </w:pPr>
    </w:p>
    <w:p>
      <w:pPr>
        <w:ind w:left="1740" w:right="260" w:hanging="543"/>
        <w:spacing w:after="0" w:line="277" w:lineRule="auto"/>
        <w:tabs>
          <w:tab w:leader="none" w:pos="17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combination of any Derivative Product or Independent Product by ARM (or any of its Downstream Affiliates) with other products not supplied by JVCo if such infringement would not have occurred but for such combination;</w:t>
      </w:r>
    </w:p>
    <w:p>
      <w:pPr>
        <w:spacing w:after="0" w:line="197" w:lineRule="exact"/>
        <w:rPr>
          <w:rFonts w:ascii="Arial" w:cs="Arial" w:eastAsia="Arial" w:hAnsi="Arial"/>
          <w:sz w:val="18"/>
          <w:szCs w:val="18"/>
          <w:color w:val="auto"/>
        </w:rPr>
      </w:pPr>
    </w:p>
    <w:p>
      <w:pPr>
        <w:ind w:left="1740" w:right="460" w:hanging="543"/>
        <w:spacing w:after="0" w:line="277" w:lineRule="auto"/>
        <w:tabs>
          <w:tab w:leader="none" w:pos="17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modification of any Derivative Product or Independent Product by ARM (or any of its Downstream Affiliates) if such infringement would not have occurred but for such modification;</w:t>
      </w:r>
    </w:p>
    <w:p>
      <w:pPr>
        <w:spacing w:after="0" w:line="197" w:lineRule="exact"/>
        <w:rPr>
          <w:rFonts w:ascii="Arial" w:cs="Arial" w:eastAsia="Arial" w:hAnsi="Arial"/>
          <w:sz w:val="18"/>
          <w:szCs w:val="18"/>
          <w:color w:val="auto"/>
        </w:rPr>
      </w:pPr>
    </w:p>
    <w:p>
      <w:pPr>
        <w:jc w:val="both"/>
        <w:ind w:left="1740" w:right="40" w:hanging="543"/>
        <w:spacing w:after="0" w:line="263" w:lineRule="auto"/>
        <w:tabs>
          <w:tab w:leader="none" w:pos="17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process of synthesizing any Derivative Product or Independent Product including but not limited to the use by ARM (or any of its Downstream Affiliates) of cell libraries of that entity if such infringement would not have occurred but for the application of such process; or</w:t>
      </w:r>
    </w:p>
    <w:p>
      <w:pPr>
        <w:spacing w:after="0" w:line="210" w:lineRule="exact"/>
        <w:rPr>
          <w:rFonts w:ascii="Arial" w:cs="Arial" w:eastAsia="Arial" w:hAnsi="Arial"/>
          <w:sz w:val="18"/>
          <w:szCs w:val="18"/>
          <w:color w:val="auto"/>
        </w:rPr>
      </w:pPr>
    </w:p>
    <w:p>
      <w:pPr>
        <w:ind w:left="1740" w:right="480" w:hanging="543"/>
        <w:spacing w:after="0" w:line="277" w:lineRule="auto"/>
        <w:tabs>
          <w:tab w:leader="none" w:pos="17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manufacturing process applied to any Derivative Product or Independent Product by ARM (or any of its Downstream Affiliates) if such infringement would not have occurred but for the application of such process;</w:t>
      </w:r>
    </w:p>
    <w:p>
      <w:pPr>
        <w:spacing w:after="0" w:line="76" w:lineRule="exact"/>
        <w:rPr>
          <w:sz w:val="20"/>
          <w:szCs w:val="20"/>
          <w:color w:val="auto"/>
        </w:rPr>
      </w:pPr>
    </w:p>
    <w:p>
      <w:pPr>
        <w:ind w:left="1180" w:right="20" w:hanging="647"/>
        <w:spacing w:after="0" w:line="257" w:lineRule="auto"/>
        <w:tabs>
          <w:tab w:leader="none" w:pos="1160" w:val="left"/>
        </w:tabs>
        <w:rPr>
          <w:sz w:val="20"/>
          <w:szCs w:val="20"/>
          <w:color w:val="auto"/>
        </w:rPr>
      </w:pPr>
      <w:r>
        <w:rPr>
          <w:rFonts w:ascii="Arial" w:cs="Arial" w:eastAsia="Arial" w:hAnsi="Arial"/>
          <w:sz w:val="18"/>
          <w:szCs w:val="18"/>
          <w:color w:val="auto"/>
        </w:rPr>
        <w:t>18.3.3</w:t>
        <w:tab/>
        <w:t>any suit, counterclaim, countersuit or the equivalent thereof brought by a third party against ARM (or any of its Downstream Affiliates) based upon a claim that any of the Derivative Products or Independent Products delivered by JVCo to ARM under this Agreement infringes a patent owned or controlled by such third party where such claim has been made by such third party as a counterclaim to an initial claim by ARM (or any of its Downstream Affiliates) that such third party (or its affiliates) infringes any patent owned or controlled by ARM (or any of its Downstream Affiliates);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354" w:name="page355"/>
    <w:bookmarkEnd w:id="354"/>
    <w:p>
      <w:pPr>
        <w:ind w:left="1180" w:right="40" w:hanging="647"/>
        <w:spacing w:after="0" w:line="311"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18.3.4</w:t>
      </w:r>
      <w:r>
        <w:rPr>
          <w:sz w:val="20"/>
          <w:szCs w:val="20"/>
          <w:color w:val="auto"/>
        </w:rPr>
        <w:tab/>
      </w:r>
      <w:r>
        <w:rPr>
          <w:rFonts w:ascii="Arial" w:cs="Arial" w:eastAsia="Arial" w:hAnsi="Arial"/>
          <w:sz w:val="16"/>
          <w:szCs w:val="16"/>
          <w:color w:val="auto"/>
        </w:rPr>
        <w:t>any suit, counterclaim, countersuit or the equivalent thereof brought by a third party against ARM (or any of its Downstream Affiliates) based upon a claim that any of the Derivative Products or Independent Products delivered by JVCo to ARM under this Agreement infringes a patent owned or controlled by such third party where such claim is based on the implementation of a Standard; or</w:t>
      </w:r>
    </w:p>
    <w:p>
      <w:pPr>
        <w:spacing w:after="0" w:line="54"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Arial" w:cs="Arial" w:eastAsia="Arial" w:hAnsi="Arial"/>
          <w:sz w:val="18"/>
          <w:szCs w:val="18"/>
          <w:color w:val="auto"/>
        </w:rPr>
        <w:t>18.3.5</w:t>
        <w:tab/>
        <w:t>any suit, counterclaim, countersuit or the equivalent thereof brought by a third party against ARM (or any of its Downstream Affiliates) based upon a claim that any of the Derivative Products or Independent Products delivered by JVCo to ARM under this Agreement infringes an excluded patent group previously identified by JVCo and notified to ARM for the relevant Derivative Product or Independent Product.</w:t>
      </w:r>
    </w:p>
    <w:p>
      <w:pPr>
        <w:spacing w:after="0" w:line="92" w:lineRule="exact"/>
        <w:rPr>
          <w:sz w:val="20"/>
          <w:szCs w:val="20"/>
          <w:color w:val="auto"/>
        </w:rPr>
      </w:pPr>
    </w:p>
    <w:p>
      <w:pPr>
        <w:ind w:left="540" w:right="40" w:hanging="539"/>
        <w:spacing w:after="0" w:line="301" w:lineRule="auto"/>
        <w:tabs>
          <w:tab w:leader="none" w:pos="5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JVCo shall not have any liability under Clause 18.1 or Clause 18.2 for any loss caused or damages awarded, for infringement by the Derivative Products or Independent Products of the Intellectual Property of a third party, after the date of issuance of a judgement in the relevant suit (whether an ARM Infringement Suit or an Underlying ARM Licensee Suit). JVCo shall have no continuing liability under Clause 18.1 or Clause 18.2 for any loss suffered by ARM or its Underlying ARM Licensee in respect of the same infringement after the date of such judgment.</w:t>
      </w:r>
    </w:p>
    <w:p>
      <w:pPr>
        <w:spacing w:after="0" w:line="63" w:lineRule="exact"/>
        <w:rPr>
          <w:sz w:val="20"/>
          <w:szCs w:val="20"/>
          <w:color w:val="auto"/>
        </w:rPr>
      </w:pPr>
    </w:p>
    <w:p>
      <w:pPr>
        <w:ind w:left="540" w:right="300" w:hanging="539"/>
        <w:spacing w:after="0" w:line="263" w:lineRule="auto"/>
        <w:tabs>
          <w:tab w:leader="none" w:pos="520" w:val="left"/>
        </w:tabs>
        <w:rPr>
          <w:sz w:val="20"/>
          <w:szCs w:val="20"/>
          <w:color w:val="auto"/>
        </w:rPr>
      </w:pPr>
      <w:r>
        <w:rPr>
          <w:rFonts w:ascii="Arial" w:cs="Arial" w:eastAsia="Arial" w:hAnsi="Arial"/>
          <w:sz w:val="18"/>
          <w:szCs w:val="18"/>
          <w:color w:val="auto"/>
        </w:rPr>
        <w:t>18.5</w:t>
        <w:tab/>
        <w:t>JVCo shall not be liable for the reasonable fees of attorneys under Clause 18.1 or Clause 18.2 unless there is a final determination by the adjudicator of the suit (whether an ARM Infringement Suit or an Underlying ARM Licensee Suit) that the Derivative Product or Independent Product infringes valid third party Intellectual Property asserted in such suit.</w:t>
      </w:r>
    </w:p>
    <w:p>
      <w:pPr>
        <w:spacing w:after="0" w:line="89" w:lineRule="exact"/>
        <w:rPr>
          <w:sz w:val="20"/>
          <w:szCs w:val="20"/>
          <w:color w:val="auto"/>
        </w:rPr>
      </w:pPr>
    </w:p>
    <w:p>
      <w:pPr>
        <w:ind w:left="540" w:right="140" w:hanging="539"/>
        <w:spacing w:after="0" w:line="279" w:lineRule="auto"/>
        <w:tabs>
          <w:tab w:leader="none" w:pos="5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If either a third party alleges, or JVCo has any concerns, that any Derivative Product or Independent Product infringes or may infringe the Intellectual Property of a third party, then without any admission of liability, JVCo at its option and expense may develop a JVCo Update to the relevant Derivative Product or Independent Product which in JVCo’s opinion avoids such alleged infringement and upon receipt of such JVCo Update from JVCo, ARM shall (and shall procure that its Downstream Affiliates shall):</w:t>
      </w:r>
    </w:p>
    <w:p>
      <w:pPr>
        <w:spacing w:after="0" w:line="77" w:lineRule="exact"/>
        <w:rPr>
          <w:sz w:val="20"/>
          <w:szCs w:val="20"/>
          <w:color w:val="auto"/>
        </w:rPr>
      </w:pPr>
    </w:p>
    <w:p>
      <w:pPr>
        <w:ind w:left="1180" w:right="620" w:hanging="647"/>
        <w:spacing w:after="0" w:line="277" w:lineRule="auto"/>
        <w:tabs>
          <w:tab w:leader="none" w:pos="1160" w:val="left"/>
        </w:tabs>
        <w:rPr>
          <w:sz w:val="20"/>
          <w:szCs w:val="20"/>
          <w:color w:val="auto"/>
        </w:rPr>
      </w:pPr>
      <w:r>
        <w:rPr>
          <w:rFonts w:ascii="Arial" w:cs="Arial" w:eastAsia="Arial" w:hAnsi="Arial"/>
          <w:sz w:val="18"/>
          <w:szCs w:val="18"/>
          <w:color w:val="auto"/>
        </w:rPr>
        <w:t>18.6.1</w:t>
        <w:tab/>
        <w:t>in respect of any new design or derivatives of any existing designs which have not been taped out, immediately cease use of the Derivative Product or Independent Product which the JVCo Update replaces; and</w:t>
      </w:r>
    </w:p>
    <w:p>
      <w:pPr>
        <w:spacing w:after="0" w:line="76" w:lineRule="exact"/>
        <w:rPr>
          <w:sz w:val="20"/>
          <w:szCs w:val="20"/>
          <w:color w:val="auto"/>
        </w:rPr>
      </w:pPr>
    </w:p>
    <w:p>
      <w:pPr>
        <w:ind w:left="1180" w:right="460" w:hanging="647"/>
        <w:spacing w:after="0" w:line="277" w:lineRule="auto"/>
        <w:tabs>
          <w:tab w:leader="none" w:pos="1160" w:val="left"/>
        </w:tabs>
        <w:rPr>
          <w:sz w:val="20"/>
          <w:szCs w:val="20"/>
          <w:color w:val="auto"/>
        </w:rPr>
      </w:pPr>
      <w:r>
        <w:rPr>
          <w:rFonts w:ascii="Arial" w:cs="Arial" w:eastAsia="Arial" w:hAnsi="Arial"/>
          <w:sz w:val="18"/>
          <w:szCs w:val="18"/>
          <w:color w:val="auto"/>
        </w:rPr>
        <w:t>18.6.2</w:t>
        <w:tab/>
        <w:t>in respect of any existing designs which have been taped out, within [***] months of receipt of the JVCo Update, cease use of the Derivative Product or Independent Product which the JVCo Update replaces.</w:t>
      </w:r>
    </w:p>
    <w:p>
      <w:pPr>
        <w:spacing w:after="0" w:line="76"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18.7</w:t>
        <w:tab/>
        <w:t>If a suit against JVCo is based in whole or in part upon a claim that any of the Derivative Products or Independent Products delivered by JVCo to ARM under this Agreement, when used in accordance with this Agreement, infringe any third party Intellectual Property as a result of any of the activities listed at Clause 18.3 above, ARM agrees to indemnify JVCo for any legal costs (including attorney’s fees) reasonably incurred by JVCo in defending such suit provided that ARM is notified promptly in writing of the suit and that at ARM’s written request, ARM is given control of and all requested reasonable assistance to defend such suit.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355" w:name="page356"/>
    <w:bookmarkEnd w:id="355"/>
    <w:p>
      <w:pPr>
        <w:ind w:left="544" w:hanging="544"/>
        <w:spacing w:after="0"/>
        <w:tabs>
          <w:tab w:leader="none" w:pos="544"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TO MODEL LICENSES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19.1</w:t>
        <w:tab/>
        <w:t>[***].</w:t>
      </w:r>
    </w:p>
    <w:p>
      <w:pPr>
        <w:spacing w:after="0" w:line="370" w:lineRule="exact"/>
        <w:rPr>
          <w:sz w:val="20"/>
          <w:szCs w:val="20"/>
          <w:color w:val="auto"/>
        </w:rPr>
      </w:pPr>
    </w:p>
    <w:p>
      <w:pPr>
        <w:ind w:left="544" w:hanging="544"/>
        <w:spacing w:after="0"/>
        <w:tabs>
          <w:tab w:leader="none" w:pos="544"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Nothing in this Agreement shall exclude or limit the liability of either Party for: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breach by a Party of Clause 35;</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death and/or personal injury resulting from the negligence of that Party or its directors, officers, employees, contractors or agents;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fraud and/or fraudulent misrepresentation by it, or its directors, officers, employees, contractors or agents;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other Losses to the extent they are not capable of being excluded or limited by Applicable Law.</w:t>
      </w:r>
    </w:p>
    <w:p>
      <w:pPr>
        <w:spacing w:after="0" w:line="131" w:lineRule="exact"/>
        <w:rPr>
          <w:sz w:val="20"/>
          <w:szCs w:val="20"/>
          <w:color w:val="auto"/>
        </w:rPr>
      </w:pPr>
    </w:p>
    <w:p>
      <w:pPr>
        <w:jc w:val="both"/>
        <w:ind w:left="544" w:right="20" w:hanging="539"/>
        <w:spacing w:after="0" w:line="287" w:lineRule="auto"/>
        <w:tabs>
          <w:tab w:leader="none" w:pos="524"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Subject to Clause 20.1, except in respect of any Recurring Wilful Exclusivity Breach and any breach of the provisions of Clause 35, in no event shall either Party be liable for any indirect, special, incidental or consequential damages whether such damages are alleged as a result of tortious conduct (including negligence) or breach of contract or otherwise, even if the other party has been advised of the possibility of such damages.</w:t>
      </w:r>
    </w:p>
    <w:p>
      <w:pPr>
        <w:spacing w:after="0" w:line="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This Clause 20.2 shall be without prejudice to either Party’s obligation to pay the Relevant Payments.</w:t>
      </w:r>
    </w:p>
    <w:p>
      <w:pPr>
        <w:spacing w:after="0" w:line="116"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20.3</w:t>
        <w:tab/>
        <w:t>Notwithstanding Clause 20.2 but subject to Clauses 20.4 to 20.11, for the purposes of this Agreement, Losses for which JVCo assumes responsibility and which shall be recoverable by ARM shall include all reasonable amounts paid by any member of the ARM Group (or all amounts that any member of the ARM Group is required to pay pursuant to a court judgment) to a third party for infringement of the Intellectual Property of a third party where JVCo has failed to fulfil its obligations under Clause 11.1.</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7"/>
          <w:szCs w:val="17"/>
          <w:color w:val="auto"/>
        </w:rPr>
        <w:t>ARM Liability for JVCo Licensee Claims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20.4.1</w:t>
      </w:r>
      <w:r>
        <w:rPr>
          <w:sz w:val="20"/>
          <w:szCs w:val="20"/>
          <w:color w:val="auto"/>
        </w:rPr>
        <w:tab/>
      </w:r>
      <w:r>
        <w:rPr>
          <w:rFonts w:ascii="Arial" w:cs="Arial" w:eastAsia="Arial" w:hAnsi="Arial"/>
          <w:sz w:val="16"/>
          <w:szCs w:val="16"/>
          <w:color w:val="auto"/>
        </w:rPr>
        <w:t>Subject to Clauses 20.1, 20.4.3 and 20.7, the maximum liability of ARM to JVCo (subject to Clause 20.4.2, on a claim by claim basis)</w:t>
      </w:r>
    </w:p>
    <w:p>
      <w:pPr>
        <w:spacing w:after="0" w:line="23"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with respect to each claim brought by JVCo that relates to a JVCo Licensee Claim shall not exceed the lesser of:</w:t>
      </w:r>
    </w:p>
    <w:p>
      <w:pPr>
        <w:spacing w:after="0" w:line="238" w:lineRule="exact"/>
        <w:rPr>
          <w:sz w:val="20"/>
          <w:szCs w:val="20"/>
          <w:color w:val="auto"/>
        </w:rPr>
      </w:pPr>
    </w:p>
    <w:p>
      <w:pPr>
        <w:ind w:left="1744" w:right="300" w:hanging="543"/>
        <w:spacing w:after="0" w:line="263" w:lineRule="auto"/>
        <w:tabs>
          <w:tab w:leader="none" w:pos="174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amount equal to the JVCo Revenue Share Percentage that relates to that JVCo Licensed Product that is the subject of the JVCo Licensee Claim multiplied by 100% of the License Fees paid by the relevant PRC Licensee to JVCo pursuant to its license agreement relating to the JVCo Licensed Product; and</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4"/>
          </w:cols>
          <w:pgMar w:left="436" w:top="270" w:right="519" w:bottom="1440" w:gutter="0" w:footer="0" w:header="0"/>
        </w:sectPr>
      </w:pPr>
    </w:p>
    <w:bookmarkStart w:id="356" w:name="page357"/>
    <w:bookmarkEnd w:id="356"/>
    <w:p>
      <w:pPr>
        <w:ind w:left="1740" w:right="120" w:hanging="543"/>
        <w:spacing w:after="0" w:line="277" w:lineRule="auto"/>
        <w:tabs>
          <w:tab w:leader="none" w:pos="17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amount equal to the JVCo Revenue Share Percentage that relates to that JVCo Licensed Product multiplied by JVCo’s Total Contractual Liability for that JVCo Licensee Claim.</w:t>
      </w:r>
    </w:p>
    <w:p>
      <w:pPr>
        <w:spacing w:after="0" w:line="76" w:lineRule="exact"/>
        <w:rPr>
          <w:sz w:val="20"/>
          <w:szCs w:val="20"/>
          <w:color w:val="auto"/>
        </w:rPr>
      </w:pPr>
    </w:p>
    <w:p>
      <w:pPr>
        <w:ind w:left="1180" w:hanging="647"/>
        <w:spacing w:after="0" w:line="279" w:lineRule="auto"/>
        <w:tabs>
          <w:tab w:leader="none" w:pos="1160" w:val="left"/>
        </w:tabs>
        <w:rPr>
          <w:sz w:val="20"/>
          <w:szCs w:val="20"/>
          <w:color w:val="auto"/>
        </w:rPr>
      </w:pPr>
      <w:r>
        <w:rPr>
          <w:rFonts w:ascii="Arial" w:cs="Arial" w:eastAsia="Arial" w:hAnsi="Arial"/>
          <w:sz w:val="18"/>
          <w:szCs w:val="18"/>
          <w:color w:val="auto"/>
        </w:rPr>
        <w:t>20.4.2</w:t>
      </w:r>
      <w:r>
        <w:rPr>
          <w:sz w:val="20"/>
          <w:szCs w:val="20"/>
          <w:color w:val="auto"/>
        </w:rPr>
        <w:tab/>
      </w:r>
      <w:r>
        <w:rPr>
          <w:rFonts w:ascii="Arial" w:cs="Arial" w:eastAsia="Arial" w:hAnsi="Arial"/>
          <w:sz w:val="17"/>
          <w:szCs w:val="17"/>
          <w:color w:val="auto"/>
        </w:rPr>
        <w:t>Where a PRC Licensee brings multiple JVCo Licensee Claims in respect of the same JVCo Licensed Product, such claims shall be treated as a single JVCo Licensee Claim for the purposes of Clause 20.4.1, such that the maximum aggregate liability of ARM for claims brought by JVCo relating to such JVCo Licensee Claims shall not exceed the amount that ARM would have been liable for if the PRC Licensee had only brought one JVCo Licensee Claim in respect of that JVCo Licensed Product.</w:t>
      </w:r>
    </w:p>
    <w:p>
      <w:pPr>
        <w:spacing w:after="0" w:line="77" w:lineRule="exact"/>
        <w:rPr>
          <w:sz w:val="20"/>
          <w:szCs w:val="20"/>
          <w:color w:val="auto"/>
        </w:rPr>
      </w:pPr>
    </w:p>
    <w:p>
      <w:pPr>
        <w:ind w:left="1180" w:right="40" w:hanging="647"/>
        <w:spacing w:after="0" w:line="293" w:lineRule="auto"/>
        <w:tabs>
          <w:tab w:leader="none" w:pos="1160" w:val="left"/>
        </w:tabs>
        <w:rPr>
          <w:sz w:val="20"/>
          <w:szCs w:val="20"/>
          <w:color w:val="auto"/>
        </w:rPr>
      </w:pPr>
      <w:r>
        <w:rPr>
          <w:rFonts w:ascii="Arial" w:cs="Arial" w:eastAsia="Arial" w:hAnsi="Arial"/>
          <w:sz w:val="18"/>
          <w:szCs w:val="18"/>
          <w:color w:val="auto"/>
        </w:rPr>
        <w:t>20.4.3</w:t>
      </w:r>
      <w:r>
        <w:rPr>
          <w:sz w:val="20"/>
          <w:szCs w:val="20"/>
          <w:color w:val="auto"/>
        </w:rPr>
        <w:tab/>
      </w:r>
      <w:r>
        <w:rPr>
          <w:rFonts w:ascii="Arial" w:cs="Arial" w:eastAsia="Arial" w:hAnsi="Arial"/>
          <w:sz w:val="16"/>
          <w:szCs w:val="16"/>
          <w:color w:val="auto"/>
        </w:rPr>
        <w:t>Clause 20.4.1 of this Agreement and Clause 21.3.1 of the Co-ownership Deed shall be treated as the restatement of the same single cap. Any amounts recovered by JVCo that count towards the cap in Clause 21.3.1 of the Co-ownership Deed shall also count towards the cap set out in Clause 20.4.1 of this Agreement, where such amounts relate to the same JVCo Licensee Claim. Multiple JVCo Licensee Claims brought by a PRC Licensee in respect of the same JVCo Licensed Product shall be considered to be one and the same claim for the purposes of Clause 20.4.2 of this Agreement and Clause 21.3.2 of the Co-ownership Deed, regardless of whether such claims are brought by JVCo pursuant to this Agreement, the Co-ownership Deed or a combination of both.</w:t>
      </w:r>
    </w:p>
    <w:p>
      <w:pPr>
        <w:spacing w:after="0" w:line="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7"/>
          <w:szCs w:val="17"/>
          <w:color w:val="auto"/>
        </w:rPr>
        <w:t>ARM Liability for Product Claims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20.5.1</w:t>
      </w:r>
      <w:r>
        <w:rPr>
          <w:sz w:val="20"/>
          <w:szCs w:val="20"/>
          <w:color w:val="auto"/>
        </w:rPr>
        <w:tab/>
      </w:r>
      <w:r>
        <w:rPr>
          <w:rFonts w:ascii="Arial" w:cs="Arial" w:eastAsia="Arial" w:hAnsi="Arial"/>
          <w:sz w:val="16"/>
          <w:szCs w:val="16"/>
          <w:color w:val="auto"/>
        </w:rPr>
        <w:t>Subject to Clauses 20.1, 20.5.3 and 20.7, the maximum liability of ARM to JVCo (subject to Clause 20.5.2, on a claim by claim basis)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for each Product Claim brought by JVCo shall not exceed the lesser of:</w:t>
      </w:r>
    </w:p>
    <w:p>
      <w:pPr>
        <w:spacing w:after="0" w:line="116" w:lineRule="exact"/>
        <w:rPr>
          <w:sz w:val="20"/>
          <w:szCs w:val="20"/>
          <w:color w:val="auto"/>
        </w:rPr>
      </w:pPr>
    </w:p>
    <w:p>
      <w:pPr>
        <w:ind w:left="1740" w:right="460" w:hanging="543"/>
        <w:spacing w:after="0" w:line="342" w:lineRule="auto"/>
        <w:tabs>
          <w:tab w:leader="none" w:pos="17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JVCo Charges Paid or Payable by JVCo (in so far as they relate to the JVCo Licensed Product that is the subject of the Product Claim) during the twelve month period immediately preceding the date of the event giving rise to the claim; and</w:t>
      </w:r>
    </w:p>
    <w:p>
      <w:pPr>
        <w:spacing w:after="0" w:line="29" w:lineRule="exact"/>
        <w:rPr>
          <w:rFonts w:ascii="Arial" w:cs="Arial" w:eastAsia="Arial" w:hAnsi="Arial"/>
          <w:sz w:val="16"/>
          <w:szCs w:val="16"/>
          <w:color w:val="auto"/>
        </w:rPr>
      </w:pPr>
    </w:p>
    <w:p>
      <w:pPr>
        <w:ind w:left="1740" w:hanging="543"/>
        <w:spacing w:after="0"/>
        <w:tabs>
          <w:tab w:leader="none" w:pos="17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 US dollars).</w:t>
      </w:r>
    </w:p>
    <w:p>
      <w:pPr>
        <w:spacing w:after="0" w:line="131" w:lineRule="exact"/>
        <w:rPr>
          <w:sz w:val="20"/>
          <w:szCs w:val="20"/>
          <w:color w:val="auto"/>
        </w:rPr>
      </w:pPr>
    </w:p>
    <w:p>
      <w:pPr>
        <w:ind w:left="1180" w:right="80" w:hanging="647"/>
        <w:spacing w:after="0" w:line="311" w:lineRule="auto"/>
        <w:tabs>
          <w:tab w:leader="none" w:pos="1160" w:val="left"/>
        </w:tabs>
        <w:rPr>
          <w:sz w:val="20"/>
          <w:szCs w:val="20"/>
          <w:color w:val="auto"/>
        </w:rPr>
      </w:pPr>
      <w:r>
        <w:rPr>
          <w:rFonts w:ascii="Arial" w:cs="Arial" w:eastAsia="Arial" w:hAnsi="Arial"/>
          <w:sz w:val="18"/>
          <w:szCs w:val="18"/>
          <w:color w:val="auto"/>
        </w:rPr>
        <w:t>20.5.2</w:t>
      </w:r>
      <w:r>
        <w:rPr>
          <w:sz w:val="20"/>
          <w:szCs w:val="20"/>
          <w:color w:val="auto"/>
        </w:rPr>
        <w:tab/>
      </w:r>
      <w:r>
        <w:rPr>
          <w:rFonts w:ascii="Arial" w:cs="Arial" w:eastAsia="Arial" w:hAnsi="Arial"/>
          <w:sz w:val="16"/>
          <w:szCs w:val="16"/>
          <w:color w:val="auto"/>
        </w:rPr>
        <w:t>Where JVCo brings multiple Product Claims in respect of the same JVCo Licensed Product, such claims shall be treated as a single Product Claim for the purposes of Clause 20.5.1, such that the maximum aggregate liability of ARM for such Product Claims shall not exceed the amount that ARM would have been liable for if JVCo had only brought one Product Claim for that JVCo Licensed Product.</w:t>
      </w:r>
    </w:p>
    <w:p>
      <w:pPr>
        <w:spacing w:after="0" w:line="54" w:lineRule="exact"/>
        <w:rPr>
          <w:sz w:val="20"/>
          <w:szCs w:val="20"/>
          <w:color w:val="auto"/>
        </w:rPr>
      </w:pPr>
    </w:p>
    <w:p>
      <w:pPr>
        <w:ind w:left="1180" w:right="40" w:hanging="647"/>
        <w:spacing w:after="0" w:line="286" w:lineRule="auto"/>
        <w:tabs>
          <w:tab w:leader="none" w:pos="1160" w:val="left"/>
        </w:tabs>
        <w:rPr>
          <w:sz w:val="20"/>
          <w:szCs w:val="20"/>
          <w:color w:val="auto"/>
        </w:rPr>
      </w:pPr>
      <w:r>
        <w:rPr>
          <w:rFonts w:ascii="Arial" w:cs="Arial" w:eastAsia="Arial" w:hAnsi="Arial"/>
          <w:sz w:val="18"/>
          <w:szCs w:val="18"/>
          <w:color w:val="auto"/>
        </w:rPr>
        <w:t>20.5.3</w:t>
      </w:r>
      <w:r>
        <w:rPr>
          <w:sz w:val="20"/>
          <w:szCs w:val="20"/>
          <w:color w:val="auto"/>
        </w:rPr>
        <w:tab/>
      </w:r>
      <w:r>
        <w:rPr>
          <w:rFonts w:ascii="Arial" w:cs="Arial" w:eastAsia="Arial" w:hAnsi="Arial"/>
          <w:sz w:val="17"/>
          <w:szCs w:val="17"/>
          <w:color w:val="auto"/>
        </w:rPr>
        <w:t>Clause 20.5.1 of this Agreement and Clause 21.4.1 of the Co-ownership Deed shall be treated as the restatement of the same single cap. Any amounts recovered by JVCo that count towards the cap in Clause 21.4.1 of the Co-ownership Deed shall also count towards the cap set out in Clause 20.5.1 of this Agreement, where such amounts relate to the same Product Claim. Multiple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357" w:name="page358"/>
    <w:bookmarkEnd w:id="357"/>
    <w:p>
      <w:pPr>
        <w:ind w:left="1200"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Claims brought by JVCo in respect of the same JVCo Licensed Product shall be considered to be one and the same claim for the purposes of Clause 20.5.2 of this Agreement and Clause 21.4.2 of the Co-ownership Deed, regardless of whether such claims are brought by JVCo pursuant to this Agreement, the Co-ownership Deed or a combination of both. For the purposes of assessing whether two Product Claims are the same, the fact that those claims are brought pursuant to different agreements shall be disregarded.</w:t>
      </w:r>
    </w:p>
    <w:p>
      <w:pPr>
        <w:spacing w:after="0" w:line="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7"/>
          <w:szCs w:val="17"/>
          <w:color w:val="auto"/>
        </w:rPr>
        <w:t>ARM Liability for Non-Product Claims</w:t>
      </w:r>
    </w:p>
    <w:p>
      <w:pPr>
        <w:spacing w:after="0" w:line="131" w:lineRule="exact"/>
        <w:rPr>
          <w:sz w:val="20"/>
          <w:szCs w:val="20"/>
          <w:color w:val="auto"/>
        </w:rPr>
      </w:pPr>
    </w:p>
    <w:p>
      <w:pPr>
        <w:ind w:left="1180" w:right="100" w:hanging="647"/>
        <w:spacing w:after="0" w:line="263" w:lineRule="auto"/>
        <w:tabs>
          <w:tab w:leader="none" w:pos="1160" w:val="left"/>
        </w:tabs>
        <w:rPr>
          <w:sz w:val="20"/>
          <w:szCs w:val="20"/>
          <w:color w:val="auto"/>
        </w:rPr>
      </w:pPr>
      <w:r>
        <w:rPr>
          <w:rFonts w:ascii="Arial" w:cs="Arial" w:eastAsia="Arial" w:hAnsi="Arial"/>
          <w:sz w:val="18"/>
          <w:szCs w:val="18"/>
          <w:color w:val="auto"/>
        </w:rPr>
        <w:t>20.6.1</w:t>
        <w:tab/>
        <w:t>Subject to Clauses 20.1, 20.6.3 and 20.7, the maximum liability of ARM to JVCo (on a claim by claim basis) for each Non-Product Claim brought by JVCo shall not exceed [***], provided that ARM’s maximum liability (per claim) under this Clause 20.6.1 shall not, in any event, be less than $[***] ([***] US dollars).</w:t>
      </w:r>
    </w:p>
    <w:p>
      <w:pPr>
        <w:spacing w:after="0" w:line="89" w:lineRule="exact"/>
        <w:rPr>
          <w:sz w:val="20"/>
          <w:szCs w:val="20"/>
          <w:color w:val="auto"/>
        </w:rPr>
      </w:pPr>
    </w:p>
    <w:p>
      <w:pPr>
        <w:ind w:left="1180" w:right="160" w:hanging="647"/>
        <w:spacing w:after="0" w:line="263" w:lineRule="auto"/>
        <w:tabs>
          <w:tab w:leader="none" w:pos="1160" w:val="left"/>
        </w:tabs>
        <w:rPr>
          <w:sz w:val="20"/>
          <w:szCs w:val="20"/>
          <w:color w:val="auto"/>
        </w:rPr>
      </w:pPr>
      <w:r>
        <w:rPr>
          <w:rFonts w:ascii="Arial" w:cs="Arial" w:eastAsia="Arial" w:hAnsi="Arial"/>
          <w:sz w:val="18"/>
          <w:szCs w:val="18"/>
          <w:color w:val="auto"/>
        </w:rPr>
        <w:t>20.6.2</w:t>
        <w:tab/>
        <w:t>Notwithstanding the foregoing, the maximum liability of ARM to JVCo (on a claim by claim basis) for each Non-Product Claim brought by JVCo in respect of a Recurring Wilful Exclusivity Breach shall not exceed [***], provided that ARM’s maximum liability (per claim) under this Clause 20.6.2 shall not, in any event, be less than $[***] ([***] US dollars).</w:t>
      </w:r>
    </w:p>
    <w:p>
      <w:pPr>
        <w:spacing w:after="0" w:line="89" w:lineRule="exact"/>
        <w:rPr>
          <w:sz w:val="20"/>
          <w:szCs w:val="20"/>
          <w:color w:val="auto"/>
        </w:rPr>
      </w:pPr>
    </w:p>
    <w:p>
      <w:pPr>
        <w:ind w:left="1180" w:hanging="647"/>
        <w:spacing w:after="0" w:line="257" w:lineRule="auto"/>
        <w:tabs>
          <w:tab w:leader="none" w:pos="1160" w:val="left"/>
        </w:tabs>
        <w:rPr>
          <w:sz w:val="20"/>
          <w:szCs w:val="20"/>
          <w:color w:val="auto"/>
        </w:rPr>
      </w:pPr>
      <w:r>
        <w:rPr>
          <w:rFonts w:ascii="Arial" w:cs="Arial" w:eastAsia="Arial" w:hAnsi="Arial"/>
          <w:sz w:val="18"/>
          <w:szCs w:val="18"/>
          <w:color w:val="auto"/>
        </w:rPr>
        <w:t>20.6.3</w:t>
        <w:tab/>
        <w:t>Clause 20.6.1 of this Agreement and Clause 21.5.1 of the Co-ownership Deed shall be treated as the restatement of the same single cap. Any amounts recovered by JVCo that count towards the cap in Clause 21.5.1 of the Co-ownership Deed shall also count towards the cap set out in Clause 20.6.1 of this Agreement, where such amounts relate to the same Non-Product Claim. For the purposes of assessing whether two Non-Product Claims are the same, the fact that those claims are brought pursuant to different agreements shall be disregarded.</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7"/>
          <w:szCs w:val="17"/>
          <w:color w:val="auto"/>
        </w:rPr>
        <w:t>Aggregate Cap for ARM Liability</w:t>
      </w:r>
    </w:p>
    <w:p>
      <w:pPr>
        <w:spacing w:after="0" w:line="117" w:lineRule="exact"/>
        <w:rPr>
          <w:sz w:val="20"/>
          <w:szCs w:val="20"/>
          <w:color w:val="auto"/>
        </w:rPr>
      </w:pPr>
    </w:p>
    <w:p>
      <w:pPr>
        <w:ind w:left="540" w:right="180"/>
        <w:spacing w:after="0" w:line="279" w:lineRule="auto"/>
        <w:rPr>
          <w:sz w:val="20"/>
          <w:szCs w:val="20"/>
          <w:color w:val="auto"/>
        </w:rPr>
      </w:pPr>
      <w:r>
        <w:rPr>
          <w:rFonts w:ascii="Arial" w:cs="Arial" w:eastAsia="Arial" w:hAnsi="Arial"/>
          <w:sz w:val="17"/>
          <w:szCs w:val="17"/>
          <w:color w:val="auto"/>
        </w:rPr>
        <w:t>Subject to Clause 20.1, the maximum aggregate liability of ARM under and in connection with this Agreement and the Co-ownership Deed in respect of all claims other than Non-Product Claims in respect of Recurring Wilful Exclusivity Breaches, whether in contract, tort (including negligence), misrepresentation, for breach of duty (including strict liability) or otherwise (including, for the avoidance of doubt, all claims that relate to JVCo Licensee Claims, Product Claims and Non-Product Claims) shall not exceed $[***] ([***] US dollars).</w:t>
      </w:r>
    </w:p>
    <w:p>
      <w:pPr>
        <w:spacing w:after="0" w:line="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color w:val="auto"/>
        </w:rPr>
        <w:t>JVCo Liability for ARM Licensee Claims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20.8.1</w:t>
      </w:r>
      <w:r>
        <w:rPr>
          <w:sz w:val="20"/>
          <w:szCs w:val="20"/>
          <w:color w:val="auto"/>
        </w:rPr>
        <w:tab/>
      </w:r>
      <w:r>
        <w:rPr>
          <w:rFonts w:ascii="Arial" w:cs="Arial" w:eastAsia="Arial" w:hAnsi="Arial"/>
          <w:sz w:val="16"/>
          <w:szCs w:val="16"/>
          <w:color w:val="auto"/>
        </w:rPr>
        <w:t>Subject to Clauses 20.1, 20.8.3 and 20.11, the maximum liability of JVCo to ARM (subject to Clause 20.8.2, on a claim by claim basis)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with respect to each claim brought by ARM that relates to an ARM Licensee Claim shall not exceed the lesser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358" w:name="page359"/>
    <w:bookmarkEnd w:id="358"/>
    <w:p>
      <w:pPr>
        <w:ind w:left="1740" w:right="160" w:hanging="543"/>
        <w:spacing w:after="0" w:line="263" w:lineRule="auto"/>
        <w:tabs>
          <w:tab w:leader="none" w:pos="17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amount equal to the ARM Revenue Share Percentage that relates to that JVCo Licensed Product that is the subject of the ARM Licensee Claim multiplied by 100% of the License Fees paid by the relevant Non-PRC Licensee to ARM pursuant to its license agreement relating to the JVCo Licensed Product; and</w:t>
      </w:r>
    </w:p>
    <w:p>
      <w:pPr>
        <w:spacing w:after="0" w:line="89" w:lineRule="exact"/>
        <w:rPr>
          <w:rFonts w:ascii="Arial" w:cs="Arial" w:eastAsia="Arial" w:hAnsi="Arial"/>
          <w:sz w:val="18"/>
          <w:szCs w:val="18"/>
          <w:color w:val="auto"/>
        </w:rPr>
      </w:pPr>
    </w:p>
    <w:p>
      <w:pPr>
        <w:ind w:left="1740" w:right="140" w:hanging="543"/>
        <w:spacing w:after="0" w:line="277" w:lineRule="auto"/>
        <w:tabs>
          <w:tab w:leader="none" w:pos="17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 amount equal to the ARM Revenue Share Percentage that relates to that JVCo Licensed Product multiplied by ARM’s Total Contractual Liability for that ARM Licensee Claim.</w:t>
      </w:r>
    </w:p>
    <w:p>
      <w:pPr>
        <w:spacing w:after="0" w:line="76" w:lineRule="exact"/>
        <w:rPr>
          <w:sz w:val="20"/>
          <w:szCs w:val="20"/>
          <w:color w:val="auto"/>
        </w:rPr>
      </w:pPr>
    </w:p>
    <w:p>
      <w:pPr>
        <w:ind w:left="1180" w:hanging="647"/>
        <w:spacing w:after="0" w:line="279" w:lineRule="auto"/>
        <w:tabs>
          <w:tab w:leader="none" w:pos="1160" w:val="left"/>
        </w:tabs>
        <w:rPr>
          <w:sz w:val="20"/>
          <w:szCs w:val="20"/>
          <w:color w:val="auto"/>
        </w:rPr>
      </w:pPr>
      <w:r>
        <w:rPr>
          <w:rFonts w:ascii="Arial" w:cs="Arial" w:eastAsia="Arial" w:hAnsi="Arial"/>
          <w:sz w:val="18"/>
          <w:szCs w:val="18"/>
          <w:color w:val="auto"/>
        </w:rPr>
        <w:t>20.8.2</w:t>
      </w:r>
      <w:r>
        <w:rPr>
          <w:sz w:val="20"/>
          <w:szCs w:val="20"/>
          <w:color w:val="auto"/>
        </w:rPr>
        <w:tab/>
      </w:r>
      <w:r>
        <w:rPr>
          <w:rFonts w:ascii="Arial" w:cs="Arial" w:eastAsia="Arial" w:hAnsi="Arial"/>
          <w:sz w:val="17"/>
          <w:szCs w:val="17"/>
          <w:color w:val="auto"/>
        </w:rPr>
        <w:t>Where a Non-PRC Licensee brings multiple ARM Licensee Claims in respect of the same JVCo Licensed Product, such claims shall be treated as a single ARM Licensee Claim for the purposes of Clause 20.8.1, such that the maximum aggregate liability of JVCo for claims brought by ARM relating to such ARM Licensee Claims shall not exceed the amount that JVCo would have been liable for if the Non-PRC Licensee had only brought one ARM Licensee Claim in respect of that JVCo Licensed Product.</w:t>
      </w:r>
    </w:p>
    <w:p>
      <w:pPr>
        <w:spacing w:after="0" w:line="77" w:lineRule="exact"/>
        <w:rPr>
          <w:sz w:val="20"/>
          <w:szCs w:val="20"/>
          <w:color w:val="auto"/>
        </w:rPr>
      </w:pPr>
    </w:p>
    <w:p>
      <w:pPr>
        <w:ind w:left="1180" w:right="40" w:hanging="647"/>
        <w:spacing w:after="0" w:line="293" w:lineRule="auto"/>
        <w:tabs>
          <w:tab w:leader="none" w:pos="1160" w:val="left"/>
        </w:tabs>
        <w:rPr>
          <w:sz w:val="20"/>
          <w:szCs w:val="20"/>
          <w:color w:val="auto"/>
        </w:rPr>
      </w:pPr>
      <w:r>
        <w:rPr>
          <w:rFonts w:ascii="Arial" w:cs="Arial" w:eastAsia="Arial" w:hAnsi="Arial"/>
          <w:sz w:val="18"/>
          <w:szCs w:val="18"/>
          <w:color w:val="auto"/>
        </w:rPr>
        <w:t>20.8.3</w:t>
      </w:r>
      <w:r>
        <w:rPr>
          <w:sz w:val="20"/>
          <w:szCs w:val="20"/>
          <w:color w:val="auto"/>
        </w:rPr>
        <w:tab/>
      </w:r>
      <w:r>
        <w:rPr>
          <w:rFonts w:ascii="Arial" w:cs="Arial" w:eastAsia="Arial" w:hAnsi="Arial"/>
          <w:sz w:val="16"/>
          <w:szCs w:val="16"/>
          <w:color w:val="auto"/>
        </w:rPr>
        <w:t>Clause 20.8.1 of this Agreement and Clause 21.7.1 of the Co-ownership Deed shall be treated as the restatement of the same single cap. Any amounts recovered by ARM that count towards the cap in Clause 21.7.1 of the Co-ownership Deed shall also count towards the cap set out in Clause 20.8.1 of this Agreement, where such amounts relate to the same ARM Licensee Claim. Multiple ARM Licensee Claims brought by a Non-PRC Licensee in respect of the same JVCo Licensed Product shall be considered to be one and the same claim for the purposes of Clause 20.8.2 of this Agreement and Clause 21.7.2 of the Co-ownership Deed, regardless of whether such claims are brought by an ARM Party pursuant to this Agreement, the Co-ownership Deed or a combination of both.</w:t>
      </w:r>
    </w:p>
    <w:p>
      <w:pPr>
        <w:spacing w:after="0" w:line="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7"/>
          <w:szCs w:val="17"/>
          <w:color w:val="auto"/>
        </w:rPr>
        <w:t>JVCo Liability for Product Claims</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20.9.1</w:t>
      </w:r>
      <w:r>
        <w:rPr>
          <w:sz w:val="20"/>
          <w:szCs w:val="20"/>
          <w:color w:val="auto"/>
        </w:rPr>
        <w:tab/>
      </w:r>
      <w:r>
        <w:rPr>
          <w:rFonts w:ascii="Arial" w:cs="Arial" w:eastAsia="Arial" w:hAnsi="Arial"/>
          <w:sz w:val="16"/>
          <w:szCs w:val="16"/>
          <w:color w:val="auto"/>
        </w:rPr>
        <w:t>Subject to Clauses 20.1, 20.9.3 and 20.11, the maximum liability of JVCo to ARM (subject to Clause 20.9.2, on a claim by claim basis)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for each Product Claim brought by ARM shall not exceed the lesser of:</w:t>
      </w:r>
    </w:p>
    <w:p>
      <w:pPr>
        <w:spacing w:after="0" w:line="116" w:lineRule="exact"/>
        <w:rPr>
          <w:sz w:val="20"/>
          <w:szCs w:val="20"/>
          <w:color w:val="auto"/>
        </w:rPr>
      </w:pPr>
    </w:p>
    <w:p>
      <w:pPr>
        <w:ind w:left="1740" w:right="460" w:hanging="543"/>
        <w:spacing w:after="0" w:line="342" w:lineRule="auto"/>
        <w:tabs>
          <w:tab w:leader="none" w:pos="17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ARM Charges Paid or Payable by ARM (in so far as they relate to the JVCo Licensed Product that is the subject of the Product Claim) during the twelve month period immediately preceding the date of the event giving rise to the claim; and</w:t>
      </w:r>
    </w:p>
    <w:p>
      <w:pPr>
        <w:spacing w:after="0" w:line="29" w:lineRule="exact"/>
        <w:rPr>
          <w:rFonts w:ascii="Arial" w:cs="Arial" w:eastAsia="Arial" w:hAnsi="Arial"/>
          <w:sz w:val="16"/>
          <w:szCs w:val="16"/>
          <w:color w:val="auto"/>
        </w:rPr>
      </w:pPr>
    </w:p>
    <w:p>
      <w:pPr>
        <w:ind w:left="1740" w:hanging="543"/>
        <w:spacing w:after="0"/>
        <w:tabs>
          <w:tab w:leader="none" w:pos="17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 US dollars).</w:t>
      </w:r>
    </w:p>
    <w:p>
      <w:pPr>
        <w:spacing w:after="0" w:line="131" w:lineRule="exact"/>
        <w:rPr>
          <w:sz w:val="20"/>
          <w:szCs w:val="20"/>
          <w:color w:val="auto"/>
        </w:rPr>
      </w:pPr>
    </w:p>
    <w:p>
      <w:pPr>
        <w:ind w:left="1180" w:right="80" w:hanging="647"/>
        <w:spacing w:after="0" w:line="311" w:lineRule="auto"/>
        <w:tabs>
          <w:tab w:leader="none" w:pos="1160" w:val="left"/>
        </w:tabs>
        <w:rPr>
          <w:sz w:val="20"/>
          <w:szCs w:val="20"/>
          <w:color w:val="auto"/>
        </w:rPr>
      </w:pPr>
      <w:r>
        <w:rPr>
          <w:rFonts w:ascii="Arial" w:cs="Arial" w:eastAsia="Arial" w:hAnsi="Arial"/>
          <w:sz w:val="18"/>
          <w:szCs w:val="18"/>
          <w:color w:val="auto"/>
        </w:rPr>
        <w:t>20.9.2</w:t>
      </w:r>
      <w:r>
        <w:rPr>
          <w:sz w:val="20"/>
          <w:szCs w:val="20"/>
          <w:color w:val="auto"/>
        </w:rPr>
        <w:tab/>
      </w:r>
      <w:r>
        <w:rPr>
          <w:rFonts w:ascii="Arial" w:cs="Arial" w:eastAsia="Arial" w:hAnsi="Arial"/>
          <w:sz w:val="16"/>
          <w:szCs w:val="16"/>
          <w:color w:val="auto"/>
        </w:rPr>
        <w:t>Where ARM brings multiple Product Claims in respect of the same JVCo Licensed Product such claims shall be treated as a single Product Claim for the purposes of Clause 20.9.1, such that the maximum aggregate liability of JVCo for such Product Claims shall not exceed the amount that JVCo would have been liable for if ARM had only brought one Product Claim for that JVCo Licensed Product.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359" w:name="page360"/>
    <w:bookmarkEnd w:id="359"/>
    <w:p>
      <w:pPr>
        <w:ind w:left="1180" w:right="40" w:hanging="647"/>
        <w:spacing w:after="0" w:line="272"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20.9.3</w:t>
      </w:r>
      <w:r>
        <w:rPr>
          <w:sz w:val="20"/>
          <w:szCs w:val="20"/>
          <w:color w:val="auto"/>
        </w:rPr>
        <w:tab/>
      </w:r>
      <w:r>
        <w:rPr>
          <w:rFonts w:ascii="Arial" w:cs="Arial" w:eastAsia="Arial" w:hAnsi="Arial"/>
          <w:sz w:val="17"/>
          <w:szCs w:val="17"/>
          <w:color w:val="auto"/>
        </w:rPr>
        <w:t>Clause 20.9.1 of this Agreement and Clause 21.8.1 of the Co-ownership Deed shall be treated as the restatement of the same single cap. Any amounts recovered by ARM that count towards the cap in Clause 21.8.1 of the Co-ownership Deed shall also count towards the cap set out in Clause 20.9.1 of this Agreement, where such amounts relate to the same Product Claim. Multiple Product Claims brought by ARM Parties in respect of the same JVCo Licensed Product shall be considered to be one and the same claim for the purposes of Clause 20.9.2 of this Agreement and Clause 21.8.2 of the Co-ownership Deed, regardless of whether such claims are brought pursuant to different agreements shall be disregarded. For the purposes of assessing whether two Product Claims are the same, the fact that those claims are brought pursuant to different agreements shall be disregarded.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20.10  JVCo Liability for Non-Product Claims</w:t>
      </w:r>
    </w:p>
    <w:p>
      <w:pPr>
        <w:spacing w:after="0" w:line="131" w:lineRule="exact"/>
        <w:rPr>
          <w:sz w:val="20"/>
          <w:szCs w:val="20"/>
          <w:color w:val="auto"/>
        </w:rPr>
      </w:pPr>
    </w:p>
    <w:p>
      <w:pPr>
        <w:ind w:left="1180" w:right="40" w:hanging="647"/>
        <w:spacing w:after="0" w:line="263" w:lineRule="auto"/>
        <w:rPr>
          <w:sz w:val="20"/>
          <w:szCs w:val="20"/>
          <w:color w:val="auto"/>
        </w:rPr>
      </w:pPr>
      <w:r>
        <w:rPr>
          <w:rFonts w:ascii="Arial" w:cs="Arial" w:eastAsia="Arial" w:hAnsi="Arial"/>
          <w:sz w:val="18"/>
          <w:szCs w:val="18"/>
          <w:color w:val="auto"/>
        </w:rPr>
        <w:t>20.10.1 Subject to Clauses 20.1, 20.10.3 and 20.11, the maximum liability of JVCo to ARM (on a claim by claim basis) for each Non-Product Claim brought by ARM shall not exceed [***], provided that JVCo’s maximum liability (per claim) under this Clause 20.10.1 shall not, in any event, be less than $[***] ([***] US dollars).</w:t>
      </w:r>
    </w:p>
    <w:p>
      <w:pPr>
        <w:spacing w:after="0" w:line="89" w:lineRule="exact"/>
        <w:rPr>
          <w:sz w:val="20"/>
          <w:szCs w:val="20"/>
          <w:color w:val="auto"/>
        </w:rPr>
      </w:pPr>
    </w:p>
    <w:p>
      <w:pPr>
        <w:ind w:left="1180" w:right="180" w:hanging="647"/>
        <w:spacing w:after="0" w:line="263" w:lineRule="auto"/>
        <w:rPr>
          <w:sz w:val="20"/>
          <w:szCs w:val="20"/>
          <w:color w:val="auto"/>
        </w:rPr>
      </w:pPr>
      <w:r>
        <w:rPr>
          <w:rFonts w:ascii="Arial" w:cs="Arial" w:eastAsia="Arial" w:hAnsi="Arial"/>
          <w:sz w:val="18"/>
          <w:szCs w:val="18"/>
          <w:color w:val="auto"/>
        </w:rPr>
        <w:t>20.10.2 Notwithstanding the foregoing, the maximum liability of JVCo to ARM (on a claim by claim basis) for each Non-Product Claim brought by ARM in respect of a Recurring Wilful Exclusivity Breach shall not exceed [***], provided that JVCo’s maximum liability (per claim) under this Clause 20.10.2 shall not, in any event, be less than $[***] ([***] US dollars).</w:t>
      </w:r>
    </w:p>
    <w:p>
      <w:pPr>
        <w:spacing w:after="0" w:line="89" w:lineRule="exact"/>
        <w:rPr>
          <w:sz w:val="20"/>
          <w:szCs w:val="20"/>
          <w:color w:val="auto"/>
        </w:rPr>
      </w:pPr>
    </w:p>
    <w:p>
      <w:pPr>
        <w:ind w:left="1180" w:right="20" w:hanging="647"/>
        <w:spacing w:after="0" w:line="257" w:lineRule="auto"/>
        <w:rPr>
          <w:sz w:val="20"/>
          <w:szCs w:val="20"/>
          <w:color w:val="auto"/>
        </w:rPr>
      </w:pPr>
      <w:r>
        <w:rPr>
          <w:rFonts w:ascii="Arial" w:cs="Arial" w:eastAsia="Arial" w:hAnsi="Arial"/>
          <w:sz w:val="18"/>
          <w:szCs w:val="18"/>
          <w:color w:val="auto"/>
        </w:rPr>
        <w:t>20.10.3 Clause 20.10.1 of this Agreement and Clause 21.9.1 of the Co-ownership Deed shall be treated as the restatement of the same single cap. Any amounts recovered by ARM that count towards the cap in Clause 21.9.1 of the Co-ownership Deed shall also count towards the cap set out in Clause 20.10.1 of this Agreement, where such amounts relate to the same Non-Product Claim. For the purposes of assessing whether two Non-Product Claims are the same, the fact that those claims are brought pursuant to different agreements shall be disregarded.</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Aggregate Cap for JVCo Liability</w:t>
      </w:r>
    </w:p>
    <w:p>
      <w:pPr>
        <w:spacing w:after="0" w:line="117" w:lineRule="exact"/>
        <w:rPr>
          <w:sz w:val="20"/>
          <w:szCs w:val="20"/>
          <w:color w:val="auto"/>
        </w:rPr>
      </w:pPr>
    </w:p>
    <w:p>
      <w:pPr>
        <w:ind w:left="760"/>
        <w:spacing w:after="0" w:line="279" w:lineRule="auto"/>
        <w:rPr>
          <w:sz w:val="20"/>
          <w:szCs w:val="20"/>
          <w:color w:val="auto"/>
        </w:rPr>
      </w:pPr>
      <w:r>
        <w:rPr>
          <w:rFonts w:ascii="Arial" w:cs="Arial" w:eastAsia="Arial" w:hAnsi="Arial"/>
          <w:sz w:val="17"/>
          <w:szCs w:val="17"/>
          <w:color w:val="auto"/>
        </w:rPr>
        <w:t>Subject to Clause 20.1, the maximum aggregate liability of JVCo under and in connection with this Agreement and the Co-ownership Deed in respect of all claims other than Non-Product Claims in respect of Recurring Wilful Exclusivity Breaches, whether in contract, tort (including negligence), misrepresentation, for breach of duty (including strict liability) or otherwise (including, for the avoidance of doubt, all claims that relate to ARM Licensee Claims, Product Claims and Non-Product Claims) shall not exceed $[***] ([***] US dollars).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Provisions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360" w:name="page361"/>
    <w:bookmarkEnd w:id="360"/>
    <w:p>
      <w:pPr>
        <w:ind w:left="544" w:right="380" w:hanging="539"/>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20.12 Subject to Clause 20.1, Clauses 20.4 to 20.11 set out the maximum liability of each Party to the other Party under or in connection with this Agreement (including all indemnity claims), for breach of contract, in tort (including negligence) or otherwise.</w:t>
      </w:r>
    </w:p>
    <w:p>
      <w:pPr>
        <w:spacing w:after="0" w:line="52" w:lineRule="exact"/>
        <w:rPr>
          <w:sz w:val="20"/>
          <w:szCs w:val="20"/>
          <w:color w:val="auto"/>
        </w:rPr>
      </w:pPr>
    </w:p>
    <w:p>
      <w:pPr>
        <w:ind w:left="544" w:right="120" w:hanging="539"/>
        <w:spacing w:after="0" w:line="263" w:lineRule="auto"/>
        <w:rPr>
          <w:sz w:val="20"/>
          <w:szCs w:val="20"/>
          <w:color w:val="auto"/>
        </w:rPr>
      </w:pPr>
      <w:r>
        <w:rPr>
          <w:rFonts w:ascii="Arial" w:cs="Arial" w:eastAsia="Arial" w:hAnsi="Arial"/>
          <w:sz w:val="18"/>
          <w:szCs w:val="18"/>
          <w:color w:val="auto"/>
        </w:rPr>
        <w:t>20.13 The Parties acknowledge and agree that the types of claims that are within the scope of the caps set out at Clauses 20.4 to 20.10 are mutually exclusive and a Party may not seek to recover additional amounts pursuant to a different cap with respect to the same claim once the applicable cap had been exhausted.</w:t>
      </w:r>
    </w:p>
    <w:p>
      <w:pPr>
        <w:spacing w:after="0" w:line="89" w:lineRule="exact"/>
        <w:rPr>
          <w:sz w:val="20"/>
          <w:szCs w:val="20"/>
          <w:color w:val="auto"/>
        </w:rPr>
      </w:pPr>
    </w:p>
    <w:p>
      <w:pPr>
        <w:ind w:left="544" w:hanging="539"/>
        <w:spacing w:after="0" w:line="254" w:lineRule="auto"/>
        <w:rPr>
          <w:sz w:val="20"/>
          <w:szCs w:val="20"/>
          <w:color w:val="auto"/>
        </w:rPr>
      </w:pPr>
      <w:r>
        <w:rPr>
          <w:rFonts w:ascii="Arial" w:cs="Arial" w:eastAsia="Arial" w:hAnsi="Arial"/>
          <w:sz w:val="18"/>
          <w:szCs w:val="18"/>
          <w:color w:val="auto"/>
        </w:rPr>
        <w:t>20.14 All references to a “license agreement” in this Clause 20 shall refer to the contractual arrangement between a Party and its licensee that relates to a specific JVCo Licensed Product and each Party shall ensure that it enters into separate arrangements with its licensees with respect to each JVCo Licensed Product with separately identifiable liability caps in relation to each JVCo Licensed Product, save that these requirements shall not apply to licensing arrangements between ARM and Non-PRC Licensees with respect to Original ARM Products. For the avoidance of doubt, where a claim brought against a Party by its licensee relates to multiple license agreements and multiple JVCo Licensed Products, that claim shall be treated as multiple separate JVCo Licensee Claims or multiple separate ARM Licensee Claims (as applicable) for the purposes of this Clause 20.</w:t>
      </w:r>
    </w:p>
    <w:p>
      <w:pPr>
        <w:spacing w:after="0" w:line="100" w:lineRule="exact"/>
        <w:rPr>
          <w:sz w:val="20"/>
          <w:szCs w:val="20"/>
          <w:color w:val="auto"/>
        </w:rPr>
      </w:pPr>
    </w:p>
    <w:p>
      <w:pPr>
        <w:ind w:left="544" w:right="40" w:hanging="539"/>
        <w:spacing w:after="0" w:line="308" w:lineRule="auto"/>
        <w:rPr>
          <w:sz w:val="20"/>
          <w:szCs w:val="20"/>
          <w:color w:val="auto"/>
        </w:rPr>
      </w:pPr>
      <w:r>
        <w:rPr>
          <w:rFonts w:ascii="Arial" w:cs="Arial" w:eastAsia="Arial" w:hAnsi="Arial"/>
          <w:sz w:val="17"/>
          <w:szCs w:val="17"/>
          <w:color w:val="auto"/>
        </w:rPr>
        <w:t>20.15 The Parties acknowledge that the provisions of this Clause 20 allocate the risks under this Agreement between ARM and JVCo after negotiation and the pricing for each of ARM and JVCo reflects this allocation of risk and the limitation of liability specified herein.</w:t>
      </w:r>
    </w:p>
    <w:p>
      <w:pPr>
        <w:spacing w:after="0" w:line="52" w:lineRule="exact"/>
        <w:rPr>
          <w:sz w:val="20"/>
          <w:szCs w:val="20"/>
          <w:color w:val="auto"/>
        </w:rPr>
      </w:pPr>
    </w:p>
    <w:p>
      <w:pPr>
        <w:ind w:left="544" w:right="60" w:hanging="539"/>
        <w:spacing w:after="0" w:line="255" w:lineRule="auto"/>
        <w:rPr>
          <w:sz w:val="20"/>
          <w:szCs w:val="20"/>
          <w:color w:val="auto"/>
        </w:rPr>
      </w:pPr>
      <w:r>
        <w:rPr>
          <w:rFonts w:ascii="Arial" w:cs="Arial" w:eastAsia="Arial" w:hAnsi="Arial"/>
          <w:sz w:val="18"/>
          <w:szCs w:val="18"/>
          <w:color w:val="auto"/>
        </w:rPr>
        <w:t>20.16 No liability shall attach to a Party in respect of a claim (including a warranty or indemnity claim or a claim under any other provision of this Agreement or any other Transaction Document) to the extent that the same damages have been recovered by another Party or any member of its Group under any other term of this Agreement or any other Transaction Document and accordingly a Party (when considered together with its Group) may only recover once in respect of the same damages. A Party shall not be liable for any claim under any provision of this Agreement or any other Transaction Document to the extent that the subject of the claim has been or is made good or is remedied or is otherwise compensated for without cost to the non-defaulting Party.</w:t>
      </w:r>
    </w:p>
    <w:p>
      <w:pPr>
        <w:spacing w:after="0" w:line="98" w:lineRule="exact"/>
        <w:rPr>
          <w:sz w:val="20"/>
          <w:szCs w:val="20"/>
          <w:color w:val="auto"/>
        </w:rPr>
      </w:pPr>
    </w:p>
    <w:p>
      <w:pPr>
        <w:ind w:left="544" w:right="640" w:hanging="539"/>
        <w:spacing w:after="0" w:line="277" w:lineRule="auto"/>
        <w:rPr>
          <w:sz w:val="20"/>
          <w:szCs w:val="20"/>
          <w:color w:val="auto"/>
        </w:rPr>
      </w:pPr>
      <w:r>
        <w:rPr>
          <w:rFonts w:ascii="Arial" w:cs="Arial" w:eastAsia="Arial" w:hAnsi="Arial"/>
          <w:sz w:val="18"/>
          <w:szCs w:val="18"/>
          <w:color w:val="auto"/>
        </w:rPr>
        <w:t>20.17 Notwithstanding any other provision of this Clause 20, nothing in this Clause 20 shall limit either Party’s obligation to pay the Relevant Payments.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PART D: PROSECUTION, MAINTENANCE, INFRINGEMENT AND INVALIDITY CLAIMS</w:t>
      </w:r>
    </w:p>
    <w:p>
      <w:pPr>
        <w:spacing w:after="0" w:line="131" w:lineRule="exact"/>
        <w:rPr>
          <w:sz w:val="20"/>
          <w:szCs w:val="20"/>
          <w:color w:val="auto"/>
        </w:rPr>
      </w:pPr>
    </w:p>
    <w:p>
      <w:pPr>
        <w:ind w:left="544" w:hanging="544"/>
        <w:spacing w:after="0"/>
        <w:tabs>
          <w:tab w:leader="none" w:pos="544"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PROSECUTION AND MAINTENANCE</w:t>
      </w:r>
    </w:p>
    <w:p>
      <w:pPr>
        <w:spacing w:after="0" w:line="131" w:lineRule="exact"/>
        <w:rPr>
          <w:sz w:val="20"/>
          <w:szCs w:val="20"/>
          <w:color w:val="auto"/>
        </w:rPr>
      </w:pPr>
    </w:p>
    <w:p>
      <w:pPr>
        <w:ind w:left="544" w:right="160" w:hanging="539"/>
        <w:spacing w:after="0" w:line="261" w:lineRule="auto"/>
        <w:tabs>
          <w:tab w:leader="none" w:pos="524" w:val="left"/>
        </w:tabs>
        <w:rPr>
          <w:sz w:val="20"/>
          <w:szCs w:val="20"/>
          <w:color w:val="auto"/>
        </w:rPr>
      </w:pPr>
      <w:r>
        <w:rPr>
          <w:rFonts w:ascii="Arial" w:cs="Arial" w:eastAsia="Arial" w:hAnsi="Arial"/>
          <w:sz w:val="18"/>
          <w:szCs w:val="18"/>
          <w:color w:val="auto"/>
        </w:rPr>
        <w:t>21.1</w:t>
        <w:tab/>
        <w:t>Each Party (the “</w:t>
      </w:r>
      <w:r>
        <w:rPr>
          <w:rFonts w:ascii="Arial" w:cs="Arial" w:eastAsia="Arial" w:hAnsi="Arial"/>
          <w:sz w:val="18"/>
          <w:szCs w:val="18"/>
          <w:b w:val="1"/>
          <w:bCs w:val="1"/>
          <w:color w:val="auto"/>
        </w:rPr>
        <w:t>Licensing Party</w:t>
      </w:r>
      <w:r>
        <w:rPr>
          <w:rFonts w:ascii="Arial" w:cs="Arial" w:eastAsia="Arial" w:hAnsi="Arial"/>
          <w:sz w:val="18"/>
          <w:szCs w:val="18"/>
          <w:color w:val="auto"/>
        </w:rPr>
        <w:t>”) shall have the sole and exclusive right, at its cost and expense, to file, register, prosecute and maintain any Registrable IP included in its Relevant Licensed IP. JVCo shall use its reasonable endeavours to: (i) undertake a regular invention harvesting exercise with respect to its developed technology; and (ii) file applications for Registrable IP promptly following the identification of relevant inventions.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4"/>
          </w:cols>
          <w:pgMar w:left="436" w:top="274" w:right="499" w:bottom="1440" w:gutter="0" w:footer="0" w:header="0"/>
        </w:sectPr>
      </w:pPr>
    </w:p>
    <w:bookmarkStart w:id="361" w:name="page362"/>
    <w:bookmarkEnd w:id="361"/>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tab/>
        <w:t>During the prosecution of any Relevant Licensed IP which is an application for the grant of Registrable IP and which is material to the business of the Party to whom such Intellectual Property is licensed (the “</w:t>
      </w:r>
      <w:r>
        <w:rPr>
          <w:rFonts w:ascii="Arial" w:cs="Arial" w:eastAsia="Arial" w:hAnsi="Arial"/>
          <w:sz w:val="18"/>
          <w:szCs w:val="18"/>
          <w:b w:val="1"/>
          <w:bCs w:val="1"/>
          <w:color w:val="auto"/>
        </w:rPr>
        <w:t>Licensed Party</w:t>
      </w:r>
      <w:r>
        <w:rPr>
          <w:rFonts w:ascii="Arial" w:cs="Arial" w:eastAsia="Arial" w:hAnsi="Arial"/>
          <w:sz w:val="18"/>
          <w:szCs w:val="18"/>
          <w:color w:val="auto"/>
        </w:rPr>
        <w:t>”), the Licensing Party shall:</w:t>
      </w:r>
    </w:p>
    <w:p>
      <w:pPr>
        <w:spacing w:after="0" w:line="76" w:lineRule="exact"/>
        <w:rPr>
          <w:sz w:val="20"/>
          <w:szCs w:val="20"/>
          <w:color w:val="auto"/>
        </w:rPr>
      </w:pPr>
    </w:p>
    <w:p>
      <w:pPr>
        <w:jc w:val="both"/>
        <w:ind w:left="1184" w:right="580" w:hanging="647"/>
        <w:spacing w:after="0" w:line="263" w:lineRule="auto"/>
        <w:tabs>
          <w:tab w:leader="none" w:pos="1164" w:val="left"/>
        </w:tabs>
        <w:rPr>
          <w:sz w:val="20"/>
          <w:szCs w:val="20"/>
          <w:color w:val="auto"/>
        </w:rPr>
      </w:pPr>
      <w:r>
        <w:rPr>
          <w:rFonts w:ascii="Arial" w:cs="Arial" w:eastAsia="Arial" w:hAnsi="Arial"/>
          <w:sz w:val="18"/>
          <w:szCs w:val="18"/>
          <w:color w:val="auto"/>
        </w:rPr>
        <w:t>21.2.1</w:t>
        <w:tab/>
        <w:t>use reasonable endeavours to obtain the grant of such registration and, acting reasonably and in good faith, take into account the interests of the Licensed Party in doing so, provided that the final decision in respect of any such prosecution will be that of the Licensing Party;</w:t>
      </w:r>
    </w:p>
    <w:p>
      <w:pPr>
        <w:spacing w:after="0" w:line="89" w:lineRule="exact"/>
        <w:rPr>
          <w:sz w:val="20"/>
          <w:szCs w:val="20"/>
          <w:color w:val="auto"/>
        </w:rPr>
      </w:pPr>
    </w:p>
    <w:p>
      <w:pPr>
        <w:ind w:left="1184" w:right="280" w:hanging="647"/>
        <w:spacing w:after="0" w:line="277" w:lineRule="auto"/>
        <w:tabs>
          <w:tab w:leader="none" w:pos="1164" w:val="left"/>
        </w:tabs>
        <w:rPr>
          <w:sz w:val="20"/>
          <w:szCs w:val="20"/>
          <w:color w:val="auto"/>
        </w:rPr>
      </w:pPr>
      <w:r>
        <w:rPr>
          <w:rFonts w:ascii="Arial" w:cs="Arial" w:eastAsia="Arial" w:hAnsi="Arial"/>
          <w:sz w:val="18"/>
          <w:szCs w:val="18"/>
          <w:color w:val="auto"/>
        </w:rPr>
        <w:t>21.2.2</w:t>
        <w:tab/>
        <w:t>have control of the day-to-day activities with respect to the prosecution and maintenance of such registration and, in respect thereof, have no obligation to consult with the Licensed Party; and</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6"/>
          <w:szCs w:val="16"/>
          <w:color w:val="auto"/>
        </w:rPr>
        <w:t>provide annual status updates to the Licensed Party with respect to issuances, abandonments, and pending applications relating thereto.</w:t>
      </w:r>
    </w:p>
    <w:p>
      <w:pPr>
        <w:spacing w:after="0" w:line="370" w:lineRule="exact"/>
        <w:rPr>
          <w:sz w:val="20"/>
          <w:szCs w:val="20"/>
          <w:color w:val="auto"/>
        </w:rPr>
      </w:pPr>
    </w:p>
    <w:p>
      <w:pPr>
        <w:ind w:left="544" w:hanging="544"/>
        <w:spacing w:after="0"/>
        <w:tabs>
          <w:tab w:leader="none" w:pos="54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AND INVALIDITY CLAIMS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Entitlement</w:t>
      </w:r>
    </w:p>
    <w:p>
      <w:pPr>
        <w:spacing w:after="0" w:line="131" w:lineRule="exact"/>
        <w:rPr>
          <w:sz w:val="20"/>
          <w:szCs w:val="20"/>
          <w:color w:val="auto"/>
        </w:rPr>
      </w:pPr>
    </w:p>
    <w:p>
      <w:pPr>
        <w:ind w:left="1184" w:right="200" w:hanging="647"/>
        <w:spacing w:after="0" w:line="308" w:lineRule="auto"/>
        <w:tabs>
          <w:tab w:leader="none" w:pos="1164"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7"/>
          <w:szCs w:val="17"/>
          <w:color w:val="auto"/>
        </w:rPr>
        <w:t>If at any time during the Term either Party is aware that any infringement of any Relevant Licensed IP of the other Party is occurring, threatened or likely, such Party shall promptly provide to the other Party such information as it has concerning:</w:t>
      </w:r>
    </w:p>
    <w:p>
      <w:pPr>
        <w:spacing w:after="0" w:line="52" w:lineRule="exact"/>
        <w:rPr>
          <w:sz w:val="20"/>
          <w:szCs w:val="20"/>
          <w:color w:val="auto"/>
        </w:rPr>
      </w:pPr>
    </w:p>
    <w:p>
      <w:pPr>
        <w:ind w:left="1744" w:hanging="543"/>
        <w:spacing w:after="0"/>
        <w:tabs>
          <w:tab w:leader="none" w:pos="17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such infringement; and</w:t>
      </w:r>
    </w:p>
    <w:p>
      <w:pPr>
        <w:spacing w:after="0" w:line="130" w:lineRule="exact"/>
        <w:rPr>
          <w:rFonts w:ascii="Arial" w:cs="Arial" w:eastAsia="Arial" w:hAnsi="Arial"/>
          <w:sz w:val="18"/>
          <w:szCs w:val="18"/>
          <w:color w:val="auto"/>
        </w:rPr>
      </w:pPr>
    </w:p>
    <w:p>
      <w:pPr>
        <w:ind w:left="1204" w:right="1980" w:hanging="3"/>
        <w:spacing w:after="0" w:line="406" w:lineRule="auto"/>
        <w:tabs>
          <w:tab w:leader="none" w:pos="173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identity of the infringer or unauthorised user and any other person involved in such infringement, and in addition shall provide the information which alerted the Party to such infringement.</w:t>
      </w:r>
    </w:p>
    <w:p>
      <w:pPr>
        <w:ind w:left="1184" w:right="80" w:hanging="647"/>
        <w:spacing w:after="0" w:line="257" w:lineRule="auto"/>
        <w:tabs>
          <w:tab w:leader="none" w:pos="1164" w:val="left"/>
        </w:tabs>
        <w:rPr>
          <w:sz w:val="20"/>
          <w:szCs w:val="20"/>
          <w:color w:val="auto"/>
        </w:rPr>
      </w:pPr>
      <w:r>
        <w:rPr>
          <w:rFonts w:ascii="Arial" w:cs="Arial" w:eastAsia="Arial" w:hAnsi="Arial"/>
          <w:sz w:val="18"/>
          <w:szCs w:val="18"/>
          <w:color w:val="auto"/>
        </w:rPr>
        <w:t>22.1.2</w:t>
        <w:tab/>
        <w:t>Subject to Clauses 16.7 and 18.7, the Licensing Party shall have the exclusive right to bring and control any action or proceedings with respect to the enforcement of its Relevant Licensed IP against any infringement or the defence of any Invalidity Claim, including without limitation, the right to bring an action for a permanent or preliminary injunction or institute, defend, settle or otherwise resolve any such action or proceedings (but for the avoidance of doubt shall have no obligation to bring or defend any such action or proceedings).</w:t>
      </w:r>
    </w:p>
    <w:p>
      <w:pPr>
        <w:spacing w:after="0" w:line="93" w:lineRule="exact"/>
        <w:rPr>
          <w:sz w:val="20"/>
          <w:szCs w:val="20"/>
          <w:color w:val="auto"/>
        </w:rPr>
      </w:pPr>
    </w:p>
    <w:p>
      <w:pPr>
        <w:ind w:left="1184" w:hanging="647"/>
        <w:spacing w:after="0" w:line="259" w:lineRule="auto"/>
        <w:tabs>
          <w:tab w:leader="none" w:pos="1164" w:val="left"/>
        </w:tabs>
        <w:rPr>
          <w:sz w:val="20"/>
          <w:szCs w:val="20"/>
          <w:color w:val="auto"/>
        </w:rPr>
      </w:pPr>
      <w:r>
        <w:rPr>
          <w:rFonts w:ascii="Arial" w:cs="Arial" w:eastAsia="Arial" w:hAnsi="Arial"/>
          <w:sz w:val="18"/>
          <w:szCs w:val="18"/>
          <w:color w:val="auto"/>
        </w:rPr>
        <w:t>22.1.3</w:t>
        <w:tab/>
        <w:t>Where a Party identifies that the alleged infringer is an entity to whom either Party has licensed its rights (otherwise than in contravention of the terms of this Agreement), the Party initiating the infringement action shall immediately withdraw the infringement action (to the extent that it relates to the Intellectual Property that has been licensed to the alleged infringer in accordance with the terms of this Agreement) and refrain from taking any further action with respect to such allegations.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4"/>
          </w:cols>
          <w:pgMar w:left="436" w:top="274" w:right="479" w:bottom="1440" w:gutter="0" w:footer="0" w:header="0"/>
        </w:sectPr>
      </w:pPr>
    </w:p>
    <w:bookmarkStart w:id="362" w:name="page363"/>
    <w:bookmarkEnd w:id="362"/>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w:t>
      </w:r>
      <w:r>
        <w:rPr>
          <w:sz w:val="20"/>
          <w:szCs w:val="20"/>
          <w:color w:val="auto"/>
        </w:rPr>
        <w:tab/>
      </w:r>
      <w:r>
        <w:rPr>
          <w:rFonts w:ascii="Arial" w:cs="Arial" w:eastAsia="Arial" w:hAnsi="Arial"/>
          <w:sz w:val="17"/>
          <w:szCs w:val="17"/>
          <w:color w:val="auto"/>
        </w:rPr>
        <w:t>Conduct of Litigation</w:t>
      </w:r>
    </w:p>
    <w:p>
      <w:pPr>
        <w:spacing w:after="0" w:line="131" w:lineRule="exact"/>
        <w:rPr>
          <w:sz w:val="20"/>
          <w:szCs w:val="20"/>
          <w:color w:val="auto"/>
        </w:rPr>
      </w:pPr>
    </w:p>
    <w:p>
      <w:pPr>
        <w:ind w:left="1184" w:right="460" w:hanging="647"/>
        <w:spacing w:after="0" w:line="277" w:lineRule="auto"/>
        <w:tabs>
          <w:tab w:leader="none" w:pos="1164" w:val="left"/>
        </w:tabs>
        <w:rPr>
          <w:sz w:val="20"/>
          <w:szCs w:val="20"/>
          <w:color w:val="auto"/>
        </w:rPr>
      </w:pPr>
      <w:r>
        <w:rPr>
          <w:rFonts w:ascii="Arial" w:cs="Arial" w:eastAsia="Arial" w:hAnsi="Arial"/>
          <w:sz w:val="18"/>
          <w:szCs w:val="18"/>
          <w:color w:val="auto"/>
        </w:rPr>
        <w:t>22.2.1</w:t>
        <w:tab/>
        <w:t>Where a Party initiates any enforcement action or defence (as applicable) with respect to infringement of, or any Invalidity Claim relating to, any Relevant Licensed IP, as provided in this Clause 22 (the “</w:t>
      </w:r>
      <w:r>
        <w:rPr>
          <w:rFonts w:ascii="Arial" w:cs="Arial" w:eastAsia="Arial" w:hAnsi="Arial"/>
          <w:sz w:val="18"/>
          <w:szCs w:val="18"/>
          <w:b w:val="1"/>
          <w:bCs w:val="1"/>
          <w:color w:val="auto"/>
        </w:rPr>
        <w:t>Lead Party</w:t>
      </w:r>
      <w:r>
        <w:rPr>
          <w:rFonts w:ascii="Arial" w:cs="Arial" w:eastAsia="Arial" w:hAnsi="Arial"/>
          <w:sz w:val="18"/>
          <w:szCs w:val="18"/>
          <w:color w:val="auto"/>
        </w:rPr>
        <w:t>”):</w:t>
      </w:r>
    </w:p>
    <w:p>
      <w:pPr>
        <w:spacing w:after="0" w:line="72" w:lineRule="exact"/>
        <w:rPr>
          <w:sz w:val="20"/>
          <w:szCs w:val="20"/>
          <w:color w:val="auto"/>
        </w:rPr>
      </w:pPr>
    </w:p>
    <w:p>
      <w:pPr>
        <w:ind w:left="1744" w:right="180" w:hanging="543"/>
        <w:spacing w:after="0" w:line="266" w:lineRule="auto"/>
        <w:tabs>
          <w:tab w:leader="none" w:pos="17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other Party (the “</w:t>
      </w:r>
      <w:r>
        <w:rPr>
          <w:rFonts w:ascii="Arial" w:cs="Arial" w:eastAsia="Arial" w:hAnsi="Arial"/>
          <w:sz w:val="18"/>
          <w:szCs w:val="18"/>
          <w:b w:val="1"/>
          <w:bCs w:val="1"/>
          <w:color w:val="auto"/>
        </w:rPr>
        <w:t>Assisting Party</w:t>
      </w:r>
      <w:r>
        <w:rPr>
          <w:rFonts w:ascii="Arial" w:cs="Arial" w:eastAsia="Arial" w:hAnsi="Arial"/>
          <w:sz w:val="18"/>
          <w:szCs w:val="18"/>
          <w:color w:val="auto"/>
        </w:rPr>
        <w:t>”) shall give the Lead Party all such reasonable assistance as the Lead Party and its representatives may from time to time reasonably request in connection with any such action, including if so requested by the Lead Party, joining as a party to such action;</w:t>
      </w:r>
    </w:p>
    <w:p>
      <w:pPr>
        <w:spacing w:after="0" w:line="85" w:lineRule="exact"/>
        <w:rPr>
          <w:rFonts w:ascii="Arial" w:cs="Arial" w:eastAsia="Arial" w:hAnsi="Arial"/>
          <w:sz w:val="18"/>
          <w:szCs w:val="18"/>
          <w:color w:val="auto"/>
        </w:rPr>
      </w:pPr>
    </w:p>
    <w:p>
      <w:pPr>
        <w:ind w:left="1744" w:right="60" w:hanging="543"/>
        <w:spacing w:after="0" w:line="263" w:lineRule="auto"/>
        <w:tabs>
          <w:tab w:leader="none" w:pos="17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Lead Party shall keep the Assisting Party reasonably informed (including (to the extent that: (i) it has the right to do so; and (ii) such disclosure would not waive legal privilege) by the provision of copies of all relevant documentation) of the status of such proceedings;</w:t>
      </w:r>
    </w:p>
    <w:p>
      <w:pPr>
        <w:spacing w:after="0" w:line="89" w:lineRule="exact"/>
        <w:rPr>
          <w:rFonts w:ascii="Arial" w:cs="Arial" w:eastAsia="Arial" w:hAnsi="Arial"/>
          <w:sz w:val="18"/>
          <w:szCs w:val="18"/>
          <w:color w:val="auto"/>
        </w:rPr>
      </w:pPr>
    </w:p>
    <w:p>
      <w:pPr>
        <w:ind w:left="1744" w:right="160" w:hanging="543"/>
        <w:spacing w:after="0" w:line="263" w:lineRule="auto"/>
        <w:tabs>
          <w:tab w:leader="none" w:pos="17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award of damages or costs obtained from any such action or proceedings, or any sum obtained pursuant to a settlement of any such action or proceedings or otherwise obtained to settle or resolve such action, shall accrue solely to the benefit of the Lead Party; and</w:t>
      </w:r>
    </w:p>
    <w:p>
      <w:pPr>
        <w:spacing w:after="0" w:line="89" w:lineRule="exact"/>
        <w:rPr>
          <w:rFonts w:ascii="Arial" w:cs="Arial" w:eastAsia="Arial" w:hAnsi="Arial"/>
          <w:sz w:val="18"/>
          <w:szCs w:val="18"/>
          <w:color w:val="auto"/>
        </w:rPr>
      </w:pPr>
    </w:p>
    <w:p>
      <w:pPr>
        <w:ind w:left="1744" w:right="120" w:hanging="543"/>
        <w:spacing w:after="0" w:line="277" w:lineRule="auto"/>
        <w:tabs>
          <w:tab w:leader="none" w:pos="17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Lead Party shall reimburse the Assisting Party in respect of all reasonable external costs and liabilities reasonably incurred by any Assisting Party in assisting the Lead Party with any such action.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PART E: FINANCIAL PROVISIONS</w:t>
      </w:r>
    </w:p>
    <w:p>
      <w:pPr>
        <w:spacing w:after="0" w:line="131" w:lineRule="exact"/>
        <w:rPr>
          <w:sz w:val="20"/>
          <w:szCs w:val="20"/>
          <w:color w:val="auto"/>
        </w:rPr>
      </w:pPr>
    </w:p>
    <w:p>
      <w:pPr>
        <w:ind w:left="544" w:hanging="544"/>
        <w:spacing w:after="0"/>
        <w:tabs>
          <w:tab w:leader="none" w:pos="544"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OBLIGATIONS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JVCo shall pay, or cause to be paid, the JVCo Charge to ARM (or a member of the ARM Group designated by ARM) for each Calendar Quarter.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ARM shall pay, or cause to be paid, the ARM Charge to JVCo for each Calendar Quarter.</w:t>
      </w:r>
    </w:p>
    <w:p>
      <w:pPr>
        <w:spacing w:after="0" w:line="370" w:lineRule="exact"/>
        <w:rPr>
          <w:sz w:val="20"/>
          <w:szCs w:val="20"/>
          <w:color w:val="auto"/>
        </w:rPr>
      </w:pPr>
    </w:p>
    <w:p>
      <w:pPr>
        <w:ind w:left="544" w:hanging="544"/>
        <w:spacing w:after="0"/>
        <w:tabs>
          <w:tab w:leader="none" w:pos="544"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RECORDS RELATING TO PAYMENTS</w:t>
      </w:r>
    </w:p>
    <w:p>
      <w:pPr>
        <w:spacing w:after="0" w:line="135" w:lineRule="exact"/>
        <w:rPr>
          <w:sz w:val="20"/>
          <w:szCs w:val="20"/>
          <w:color w:val="auto"/>
        </w:rPr>
      </w:pPr>
    </w:p>
    <w:p>
      <w:pPr>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24.1</w:t>
        <w:tab/>
        <w:t>On or before the [***] Business Day after the end of each Calendar Quarter, the Paying Party shall submit a good faith estimation of the JVCo Charge (where JVCo is the Paying Party) or ARM Charge (where ARM is the Paying Party) that will be payable for that Calendar Quarter. Notwithstanding the foregoing, the provision of such an estimated amount shall not vary the payment obligations of either Party (if any) in each Calendar Quarter.</w:t>
      </w:r>
    </w:p>
    <w:p>
      <w:pPr>
        <w:spacing w:after="0" w:line="92"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24.2</w:t>
        <w:tab/>
        <w:t>The Paying Party shall submit a report to the Receiving Party within [***] days after the end of each Calendar Quarter, containing at least the information required by the form set out in Schedule 3 (a “</w:t>
      </w:r>
      <w:r>
        <w:rPr>
          <w:rFonts w:ascii="Arial" w:cs="Arial" w:eastAsia="Arial" w:hAnsi="Arial"/>
          <w:sz w:val="18"/>
          <w:szCs w:val="18"/>
          <w:b w:val="1"/>
          <w:bCs w:val="1"/>
          <w:color w:val="auto"/>
        </w:rPr>
        <w:t>Payment Report</w:t>
      </w:r>
      <w:r>
        <w:rPr>
          <w:rFonts w:ascii="Arial" w:cs="Arial" w:eastAsia="Arial" w:hAnsi="Arial"/>
          <w:sz w:val="18"/>
          <w:szCs w:val="18"/>
          <w:color w:val="auto"/>
        </w:rPr>
        <w: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4"/>
          </w:cols>
          <w:pgMar w:left="436" w:top="274" w:right="499" w:bottom="1440" w:gutter="0" w:footer="0" w:header="0"/>
        </w:sectPr>
      </w:pPr>
    </w:p>
    <w:bookmarkStart w:id="363" w:name="page364"/>
    <w:bookmarkEnd w:id="36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24.3</w:t>
      </w:r>
      <w:r>
        <w:rPr>
          <w:sz w:val="20"/>
          <w:szCs w:val="20"/>
          <w:color w:val="auto"/>
        </w:rPr>
        <w:tab/>
      </w:r>
      <w:r>
        <w:rPr>
          <w:rFonts w:ascii="Arial" w:cs="Arial" w:eastAsia="Arial" w:hAnsi="Arial"/>
          <w:sz w:val="16"/>
          <w:szCs w:val="16"/>
          <w:color w:val="auto"/>
        </w:rPr>
        <w:t>If a Payment Report is not provided within the timeframe set out in Clause 24.2:</w:t>
      </w:r>
    </w:p>
    <w:p>
      <w:pPr>
        <w:spacing w:after="0" w:line="131" w:lineRule="exact"/>
        <w:rPr>
          <w:sz w:val="20"/>
          <w:szCs w:val="20"/>
          <w:color w:val="auto"/>
        </w:rPr>
      </w:pPr>
    </w:p>
    <w:p>
      <w:pPr>
        <w:ind w:left="1180" w:right="260" w:hanging="647"/>
        <w:spacing w:after="0" w:line="263" w:lineRule="auto"/>
        <w:tabs>
          <w:tab w:leader="none" w:pos="1160" w:val="left"/>
        </w:tabs>
        <w:rPr>
          <w:sz w:val="20"/>
          <w:szCs w:val="20"/>
          <w:color w:val="auto"/>
        </w:rPr>
      </w:pPr>
      <w:r>
        <w:rPr>
          <w:rFonts w:ascii="Arial" w:cs="Arial" w:eastAsia="Arial" w:hAnsi="Arial"/>
          <w:sz w:val="18"/>
          <w:szCs w:val="18"/>
          <w:color w:val="auto"/>
        </w:rPr>
        <w:t>24.3.1</w:t>
        <w:tab/>
        <w:t>the Receiving Party may issue an invoice (in accordance with the other terms of this Agreement) for an amount that is the Receiving Party’s good faith estimation of the JVCo Charge or ARM Charge (as applicable) and the Paying Party shall make payment in accordance with Clause 26.2;</w:t>
      </w:r>
    </w:p>
    <w:p>
      <w:pPr>
        <w:spacing w:after="0" w:line="89" w:lineRule="exact"/>
        <w:rPr>
          <w:sz w:val="20"/>
          <w:szCs w:val="20"/>
          <w:color w:val="auto"/>
        </w:rPr>
      </w:pPr>
    </w:p>
    <w:p>
      <w:pPr>
        <w:ind w:left="1180" w:right="40" w:hanging="647"/>
        <w:spacing w:after="0" w:line="277" w:lineRule="auto"/>
        <w:tabs>
          <w:tab w:leader="none" w:pos="1160" w:val="left"/>
        </w:tabs>
        <w:rPr>
          <w:sz w:val="20"/>
          <w:szCs w:val="20"/>
          <w:color w:val="auto"/>
        </w:rPr>
      </w:pPr>
      <w:r>
        <w:rPr>
          <w:rFonts w:ascii="Arial" w:cs="Arial" w:eastAsia="Arial" w:hAnsi="Arial"/>
          <w:sz w:val="18"/>
          <w:szCs w:val="18"/>
          <w:color w:val="auto"/>
        </w:rPr>
        <w:t>24.3.2</w:t>
        <w:tab/>
        <w:t>once the relevant Payment Report is provided, the Receiving Party shall issue an invoice for the relevant Calendar Quarter within [***] Business Days (and otherwise in accordance with the terms of this Agreement for the issuing of invoices);</w:t>
      </w:r>
    </w:p>
    <w:p>
      <w:pPr>
        <w:spacing w:after="0" w:line="76" w:lineRule="exact"/>
        <w:rPr>
          <w:sz w:val="20"/>
          <w:szCs w:val="20"/>
          <w:color w:val="auto"/>
        </w:rPr>
      </w:pPr>
    </w:p>
    <w:p>
      <w:pPr>
        <w:ind w:left="1180" w:right="300" w:hanging="647"/>
        <w:spacing w:after="0" w:line="257" w:lineRule="auto"/>
        <w:tabs>
          <w:tab w:leader="none" w:pos="1160" w:val="left"/>
        </w:tabs>
        <w:rPr>
          <w:sz w:val="20"/>
          <w:szCs w:val="20"/>
          <w:color w:val="auto"/>
        </w:rPr>
      </w:pPr>
      <w:r>
        <w:rPr>
          <w:rFonts w:ascii="Arial" w:cs="Arial" w:eastAsia="Arial" w:hAnsi="Arial"/>
          <w:sz w:val="18"/>
          <w:szCs w:val="18"/>
          <w:color w:val="auto"/>
        </w:rPr>
        <w:t>24.3.3</w:t>
        <w:tab/>
        <w:t>where no invoice was issued in accordance with Clause 24.3.1, the Paying Party shall pay the amounts invoiced in accordance with Clause 24.3.2 by the later of (i) [***] Business Days of receipt of the invoice; and (ii) the [***] day after the end of the Calendar Quarter that the invoice relates to (and, in each case, otherwise in accordance with the terms of this Agreement for the payment of invoices) and interest, calculated on a daily basis from [***] until the date on which the invoice is paid, shall apply at the rate of the lesser of [***];</w:t>
      </w:r>
    </w:p>
    <w:p>
      <w:pPr>
        <w:spacing w:after="0" w:line="93"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Arial" w:cs="Arial" w:eastAsia="Arial" w:hAnsi="Arial"/>
          <w:sz w:val="18"/>
          <w:szCs w:val="18"/>
          <w:color w:val="auto"/>
        </w:rPr>
        <w:t>24.3.4</w:t>
        <w:tab/>
        <w:t>where an invoice was issued in accordance with Clause 24.3.1, the Paying Party shall pay to the Receiving Party any additional amount owing under the new invoice issued in accordance with Clause 24.3.2 or the Receiving Party shall reimburse any overpayment to the Paying Party (as applicable) within [***] Business Days of receipt of the new invoice (and otherwise in accordance with the terms of this Agreement for the payment of invoices); and</w:t>
      </w:r>
    </w:p>
    <w:p>
      <w:pPr>
        <w:spacing w:after="0" w:line="92" w:lineRule="exact"/>
        <w:rPr>
          <w:sz w:val="20"/>
          <w:szCs w:val="20"/>
          <w:color w:val="auto"/>
        </w:rPr>
      </w:pPr>
    </w:p>
    <w:p>
      <w:pPr>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24.3.5</w:t>
        <w:tab/>
        <w:t>where an invoice was issued in accordance with Clause 24.3.1, interest, calculated on a daily basis from [***] until the date the new invoice is paid, shall apply to any additional amount owing under the new invoice, at the rate of, the lesser of [***], but no interest shall apply to any overpaid amounts to be reimbursed.</w:t>
      </w:r>
    </w:p>
    <w:p>
      <w:pPr>
        <w:spacing w:after="0" w:line="89" w:lineRule="exact"/>
        <w:rPr>
          <w:sz w:val="20"/>
          <w:szCs w:val="20"/>
          <w:color w:val="auto"/>
        </w:rPr>
      </w:pPr>
    </w:p>
    <w:p>
      <w:pPr>
        <w:ind w:left="540" w:right="220" w:hanging="539"/>
        <w:spacing w:after="0" w:line="279" w:lineRule="auto"/>
        <w:tabs>
          <w:tab w:leader="none" w:pos="5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7"/>
          <w:szCs w:val="17"/>
          <w:color w:val="auto"/>
        </w:rPr>
        <w:t>For the period of [***] years from the date that each Payment Report is delivered by the Paying Party to the Receiving Party, the Paying Party shall keep such records and books of account, identifying and providing invoice details for all licensing arrangements with respect to JVCo Licensed Products (where JVCo is the Paying Party) and with respect to Derivative Products and Independent Products (where ARM is the Paying Party) to demonstrate compliance with the Paying Party’s obligations under Clause 23.</w:t>
      </w:r>
    </w:p>
    <w:p>
      <w:pPr>
        <w:spacing w:after="0" w:line="77" w:lineRule="exact"/>
        <w:rPr>
          <w:sz w:val="20"/>
          <w:szCs w:val="20"/>
          <w:color w:val="auto"/>
        </w:rPr>
      </w:pPr>
    </w:p>
    <w:p>
      <w:pPr>
        <w:ind w:left="540" w:right="100" w:hanging="539"/>
        <w:spacing w:after="0" w:line="275" w:lineRule="auto"/>
        <w:tabs>
          <w:tab w:leader="none" w:pos="5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From the Effective Date, JVCo shall provide to ARM (in accordance with Applicable Law) a good faith rolling forecast by the [***] Business Day of each calendar month, setting out the Bookings Forecast and the Revenue Forecast, in accordance with the template provided by ARM to JVCo (from time to time). During the last month of each Calendar Quarter, at ARM’s reasonable request, JVCo shall provide to ARM (in accordance with Applicable Law) supplemental or updated information in respect of the Bookings Forecast and Revenue Forecast including information reasonably necessary to enable ARM to assess the certainty of anticipated revenues.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364" w:name="page365"/>
    <w:bookmarkEnd w:id="364"/>
    <w:p>
      <w:pPr>
        <w:ind w:left="544" w:right="60" w:hanging="539"/>
        <w:spacing w:after="0" w:line="27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24.6</w:t>
      </w:r>
      <w:r>
        <w:rPr>
          <w:sz w:val="20"/>
          <w:szCs w:val="20"/>
          <w:color w:val="auto"/>
        </w:rPr>
        <w:tab/>
      </w:r>
      <w:r>
        <w:rPr>
          <w:rFonts w:ascii="Arial" w:cs="Arial" w:eastAsia="Arial" w:hAnsi="Arial"/>
          <w:sz w:val="17"/>
          <w:szCs w:val="17"/>
          <w:color w:val="auto"/>
        </w:rPr>
        <w:t>Following the date on which ARM first licenses an Independent Product to a Non-PRC Licensee, ARM shall provide to JVCo (in accordance with Applicable Law) a good faith rolling forecast by the [***] Business Day of each calendar month in respect of ARM’s licensing of Independent Products, setting out the Bookings Forecast and the Revenue Forecast, in accordance with the template provided by JVCo to ARM (from time to time). During the last month of each Calendar Quarter, at JVCo’s reasonable request, ARM shall provide to JVCo (in accordance with Applicable Law) supplemental or updated information in respect of the Bookings Forecast and Revenue Forecast including information reasonably necessary to enable JVCo to assess the certainty of anticipated revenues.</w:t>
      </w:r>
    </w:p>
    <w:p>
      <w:pPr>
        <w:spacing w:after="0" w:line="322" w:lineRule="exact"/>
        <w:rPr>
          <w:sz w:val="20"/>
          <w:szCs w:val="20"/>
          <w:color w:val="auto"/>
        </w:rPr>
      </w:pPr>
    </w:p>
    <w:p>
      <w:pPr>
        <w:ind w:left="544" w:hanging="544"/>
        <w:spacing w:after="0"/>
        <w:tabs>
          <w:tab w:leader="none" w:pos="544"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AUDIT</w:t>
      </w:r>
    </w:p>
    <w:p>
      <w:pPr>
        <w:spacing w:after="0" w:line="131" w:lineRule="exact"/>
        <w:rPr>
          <w:sz w:val="20"/>
          <w:szCs w:val="20"/>
          <w:color w:val="auto"/>
        </w:rPr>
      </w:pPr>
    </w:p>
    <w:p>
      <w:pPr>
        <w:ind w:left="544" w:hanging="539"/>
        <w:spacing w:after="0" w:line="266" w:lineRule="auto"/>
        <w:tabs>
          <w:tab w:leader="none" w:pos="524" w:val="left"/>
        </w:tabs>
        <w:rPr>
          <w:sz w:val="20"/>
          <w:szCs w:val="20"/>
          <w:color w:val="auto"/>
        </w:rPr>
      </w:pPr>
      <w:r>
        <w:rPr>
          <w:rFonts w:ascii="Arial" w:cs="Arial" w:eastAsia="Arial" w:hAnsi="Arial"/>
          <w:sz w:val="18"/>
          <w:szCs w:val="18"/>
          <w:color w:val="auto"/>
        </w:rPr>
        <w:t>25.1</w:t>
        <w:tab/>
        <w:t>The Receiving Party shall have the right for representatives of a firm of independent accountants (“</w:t>
      </w:r>
      <w:r>
        <w:rPr>
          <w:rFonts w:ascii="Arial" w:cs="Arial" w:eastAsia="Arial" w:hAnsi="Arial"/>
          <w:sz w:val="18"/>
          <w:szCs w:val="18"/>
          <w:b w:val="1"/>
          <w:bCs w:val="1"/>
          <w:color w:val="auto"/>
        </w:rPr>
        <w:t>Auditors</w:t>
      </w:r>
      <w:r>
        <w:rPr>
          <w:rFonts w:ascii="Arial" w:cs="Arial" w:eastAsia="Arial" w:hAnsi="Arial"/>
          <w:sz w:val="18"/>
          <w:szCs w:val="18"/>
          <w:color w:val="auto"/>
        </w:rPr>
        <w:t>”), to make an examination and audit, by prior appointment during normal business hours, of all of the Paying Party’s records and accounts as may, under recognised accounting practices, contain information bearing upon:</w:t>
      </w:r>
    </w:p>
    <w:p>
      <w:pPr>
        <w:spacing w:after="0" w:line="85" w:lineRule="exact"/>
        <w:rPr>
          <w:sz w:val="20"/>
          <w:szCs w:val="20"/>
          <w:color w:val="auto"/>
        </w:rPr>
      </w:pPr>
    </w:p>
    <w:p>
      <w:pPr>
        <w:ind w:left="1184" w:right="340" w:hanging="647"/>
        <w:spacing w:after="0" w:line="277" w:lineRule="auto"/>
        <w:tabs>
          <w:tab w:leader="none" w:pos="1164" w:val="left"/>
        </w:tabs>
        <w:rPr>
          <w:sz w:val="20"/>
          <w:szCs w:val="20"/>
          <w:color w:val="auto"/>
        </w:rPr>
      </w:pPr>
      <w:r>
        <w:rPr>
          <w:rFonts w:ascii="Arial" w:cs="Arial" w:eastAsia="Arial" w:hAnsi="Arial"/>
          <w:sz w:val="18"/>
          <w:szCs w:val="18"/>
          <w:color w:val="auto"/>
        </w:rPr>
        <w:t>25.1.1</w:t>
        <w:tab/>
        <w:t>where JVCo is the Paying Party, the number of licenses of JVCo Licensed Products which have been entered into by JVCo and the financial terms of such licenses;</w:t>
      </w:r>
    </w:p>
    <w:p>
      <w:pPr>
        <w:spacing w:after="0" w:line="76"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25.1.2</w:t>
        <w:tab/>
        <w:t>where ARM is the Paying Party, the number of licenses of Derivative Products and Independent Products which have been entered into by ARM and the financial terms of such licenses;</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25.1.3</w:t>
      </w:r>
      <w:r>
        <w:rPr>
          <w:sz w:val="20"/>
          <w:szCs w:val="20"/>
          <w:color w:val="auto"/>
        </w:rPr>
        <w:tab/>
      </w:r>
      <w:r>
        <w:rPr>
          <w:rFonts w:ascii="Arial" w:cs="Arial" w:eastAsia="Arial" w:hAnsi="Arial"/>
          <w:sz w:val="16"/>
          <w:szCs w:val="16"/>
          <w:color w:val="auto"/>
        </w:rPr>
        <w:t>amounts Paid or Payable by licensees for any relevant period with respect to the licenses described at Clauses 25.1.1 and 25.1.2 above;</w:t>
      </w:r>
    </w:p>
    <w:p>
      <w:pPr>
        <w:spacing w:after="0" w:line="131" w:lineRule="exact"/>
        <w:rPr>
          <w:sz w:val="20"/>
          <w:szCs w:val="20"/>
          <w:color w:val="auto"/>
        </w:rPr>
      </w:pPr>
    </w:p>
    <w:p>
      <w:pPr>
        <w:ind w:left="1184" w:right="360" w:hanging="647"/>
        <w:spacing w:after="0" w:line="277" w:lineRule="auto"/>
        <w:tabs>
          <w:tab w:leader="none" w:pos="1164" w:val="left"/>
        </w:tabs>
        <w:rPr>
          <w:sz w:val="20"/>
          <w:szCs w:val="20"/>
          <w:color w:val="auto"/>
        </w:rPr>
      </w:pPr>
      <w:r>
        <w:rPr>
          <w:rFonts w:ascii="Arial" w:cs="Arial" w:eastAsia="Arial" w:hAnsi="Arial"/>
          <w:sz w:val="18"/>
          <w:szCs w:val="18"/>
          <w:color w:val="auto"/>
        </w:rPr>
        <w:t>25.1.4</w:t>
        <w:tab/>
        <w:t>to the extent permissible under Applicable Law, royalty information provided by licensees with respect to the licenses described at Clauses 25.1.1 and 25.1.2 above;</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25.1.5</w:t>
      </w:r>
      <w:r>
        <w:rPr>
          <w:sz w:val="20"/>
          <w:szCs w:val="20"/>
          <w:color w:val="auto"/>
        </w:rPr>
        <w:tab/>
      </w:r>
      <w:r>
        <w:rPr>
          <w:rFonts w:ascii="Arial" w:cs="Arial" w:eastAsia="Arial" w:hAnsi="Arial"/>
          <w:sz w:val="16"/>
          <w:szCs w:val="16"/>
          <w:color w:val="auto"/>
        </w:rPr>
        <w:t>the Relevant Payments payable by the relevant Paying Party pursuant to the terms of this Agreement;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25.1.6</w:t>
      </w:r>
      <w:r>
        <w:rPr>
          <w:sz w:val="20"/>
          <w:szCs w:val="20"/>
          <w:color w:val="auto"/>
        </w:rPr>
        <w:tab/>
      </w:r>
      <w:r>
        <w:rPr>
          <w:rFonts w:ascii="Arial" w:cs="Arial" w:eastAsia="Arial" w:hAnsi="Arial"/>
          <w:sz w:val="16"/>
          <w:szCs w:val="16"/>
          <w:color w:val="auto"/>
        </w:rPr>
        <w:t>any information necessary to substantiate and verify the data submitted to a Paying Party in any Payment Report.</w:t>
      </w:r>
    </w:p>
    <w:p>
      <w:pPr>
        <w:spacing w:after="0" w:line="131" w:lineRule="exact"/>
        <w:rPr>
          <w:sz w:val="20"/>
          <w:szCs w:val="20"/>
          <w:color w:val="auto"/>
        </w:rPr>
      </w:pPr>
    </w:p>
    <w:p>
      <w:pPr>
        <w:ind w:left="544" w:right="240" w:hanging="539"/>
        <w:spacing w:after="0" w:line="311" w:lineRule="auto"/>
        <w:tabs>
          <w:tab w:leader="none" w:pos="524"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The Auditors shall be entitled to use the information received pursuant to such examination and audit to: (i) provide a report to the Receiving Party setting out (as a minimum) the information required from the Paying Party in the Payment Report with respect to the Paying Party’s licensing activities and revenues; and (ii) otherwise verify the Payment Reports provided by the Paying Party to the Receiving Party</w:t>
      </w:r>
    </w:p>
    <w:p>
      <w:pPr>
        <w:spacing w:after="0" w:line="54" w:lineRule="exact"/>
        <w:rPr>
          <w:sz w:val="20"/>
          <w:szCs w:val="20"/>
          <w:color w:val="auto"/>
        </w:rPr>
      </w:pPr>
    </w:p>
    <w:p>
      <w:pPr>
        <w:ind w:left="544" w:right="140" w:hanging="539"/>
        <w:spacing w:after="0" w:line="308" w:lineRule="auto"/>
        <w:tabs>
          <w:tab w:leader="none" w:pos="524"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7"/>
          <w:szCs w:val="17"/>
          <w:color w:val="auto"/>
        </w:rPr>
        <w:t>The Auditors shall be permitted to provide, to the Receiving Party, information relating to the Relevant Payments, including but not limited to, information relating to the systems operated by the Paying Party to capture and record such information. Any information</w:t>
      </w:r>
    </w:p>
    <w:p>
      <w:pPr>
        <w:spacing w:after="0" w:line="7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4"/>
          </w:cols>
          <w:pgMar w:left="436" w:top="274" w:right="519" w:bottom="1440" w:gutter="0" w:footer="0" w:header="0"/>
        </w:sectPr>
      </w:pPr>
    </w:p>
    <w:bookmarkStart w:id="365" w:name="page366"/>
    <w:bookmarkEnd w:id="365"/>
    <w:p>
      <w:pPr>
        <w:ind w:left="54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obtained pursuant to any audit performed in accordance with the provisions of this Clause 25 and provided by the Auditors to the Receiving Party shall be treated by the Receiving Party as the Paying Party’s Confidential Information. The Auditors’ conclusions shall (in the absence of clerical or manifest error) be final and binding on the Parties.</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Any audit shall be at the Receiving Party’s expense unless: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25.4.1</w:t>
      </w:r>
      <w:r>
        <w:rPr>
          <w:sz w:val="20"/>
          <w:szCs w:val="20"/>
          <w:color w:val="auto"/>
        </w:rPr>
        <w:tab/>
      </w:r>
      <w:r>
        <w:rPr>
          <w:rFonts w:ascii="Arial" w:cs="Arial" w:eastAsia="Arial" w:hAnsi="Arial"/>
          <w:sz w:val="16"/>
          <w:szCs w:val="16"/>
          <w:color w:val="auto"/>
        </w:rPr>
        <w:t>it reveals a net underpayment of Relevant Payments or other fees of [***] or more in any Calendar Quarter; or</w:t>
      </w:r>
    </w:p>
    <w:p>
      <w:pPr>
        <w:spacing w:after="0" w:line="131" w:lineRule="exact"/>
        <w:rPr>
          <w:sz w:val="20"/>
          <w:szCs w:val="20"/>
          <w:color w:val="auto"/>
        </w:rPr>
      </w:pPr>
    </w:p>
    <w:p>
      <w:pPr>
        <w:ind w:left="1184" w:right="340" w:hanging="647"/>
        <w:spacing w:after="0" w:line="277" w:lineRule="auto"/>
        <w:tabs>
          <w:tab w:leader="none" w:pos="1164" w:val="left"/>
        </w:tabs>
        <w:rPr>
          <w:sz w:val="20"/>
          <w:szCs w:val="20"/>
          <w:color w:val="auto"/>
        </w:rPr>
      </w:pPr>
      <w:r>
        <w:rPr>
          <w:rFonts w:ascii="Arial" w:cs="Arial" w:eastAsia="Arial" w:hAnsi="Arial"/>
          <w:sz w:val="18"/>
          <w:szCs w:val="18"/>
          <w:color w:val="auto"/>
        </w:rPr>
        <w:t>25.4.2</w:t>
        <w:tab/>
        <w:t>the Paying Party has failed to provide the Auditors with all requested records and accounts containing information bearing upon the subject matter set out in this Clause 25 within [***] working days of such request,</w:t>
      </w:r>
    </w:p>
    <w:p>
      <w:pPr>
        <w:spacing w:after="0" w:line="62" w:lineRule="exact"/>
        <w:rPr>
          <w:sz w:val="20"/>
          <w:szCs w:val="20"/>
          <w:color w:val="auto"/>
        </w:rPr>
      </w:pPr>
    </w:p>
    <w:p>
      <w:pPr>
        <w:jc w:val="both"/>
        <w:ind w:left="764" w:right="100"/>
        <w:spacing w:after="0" w:line="263" w:lineRule="auto"/>
        <w:rPr>
          <w:sz w:val="20"/>
          <w:szCs w:val="20"/>
          <w:color w:val="auto"/>
        </w:rPr>
      </w:pPr>
      <w:r>
        <w:rPr>
          <w:rFonts w:ascii="Arial" w:cs="Arial" w:eastAsia="Arial" w:hAnsi="Arial"/>
          <w:sz w:val="18"/>
          <w:szCs w:val="18"/>
          <w:color w:val="auto"/>
        </w:rPr>
        <w:t>in which event the Paying Party shall promptly reimburse the Receiving Party for the costs of such audit. The Paying Party shall make good any underpayment of Relevant Payments forthwith. If the audit identifies that the Paying Party has made an overpayment, such overpayment will be credited to the next payment or payments to be made by the Paying Party.</w:t>
      </w:r>
    </w:p>
    <w:p>
      <w:pPr>
        <w:spacing w:after="0" w:line="328" w:lineRule="exact"/>
        <w:rPr>
          <w:sz w:val="20"/>
          <w:szCs w:val="20"/>
          <w:color w:val="auto"/>
        </w:rPr>
      </w:pPr>
    </w:p>
    <w:p>
      <w:pPr>
        <w:ind w:left="544" w:hanging="544"/>
        <w:spacing w:after="0"/>
        <w:tabs>
          <w:tab w:leader="none" w:pos="544"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PAYMENT DISPUTES AND PAYMENT TERMS</w:t>
      </w:r>
    </w:p>
    <w:p>
      <w:pPr>
        <w:spacing w:after="0" w:line="135" w:lineRule="exact"/>
        <w:rPr>
          <w:sz w:val="20"/>
          <w:szCs w:val="20"/>
          <w:color w:val="auto"/>
        </w:rPr>
      </w:pPr>
    </w:p>
    <w:p>
      <w:pPr>
        <w:ind w:left="544" w:right="400" w:hanging="539"/>
        <w:spacing w:after="0" w:line="263" w:lineRule="auto"/>
        <w:tabs>
          <w:tab w:leader="none" w:pos="524" w:val="left"/>
        </w:tabs>
        <w:rPr>
          <w:sz w:val="20"/>
          <w:szCs w:val="20"/>
          <w:color w:val="auto"/>
        </w:rPr>
      </w:pPr>
      <w:r>
        <w:rPr>
          <w:rFonts w:ascii="Arial" w:cs="Arial" w:eastAsia="Arial" w:hAnsi="Arial"/>
          <w:sz w:val="18"/>
          <w:szCs w:val="18"/>
          <w:color w:val="auto"/>
        </w:rPr>
        <w:t>26.1</w:t>
        <w:tab/>
        <w:t>Subject to Clause 24.3, the Receiving Party shall issue an invoice for payment to the Paying Party on or before the [***] Business Day after receipt of the Payment Report. The Receiving Party shall send any invoice for payment in accordance with the notice provisions set out in Clause 44. All amounts invoiced and paid under this Agreement shall be in US dollars.</w:t>
      </w:r>
    </w:p>
    <w:p>
      <w:pPr>
        <w:spacing w:after="0" w:line="89" w:lineRule="exact"/>
        <w:rPr>
          <w:sz w:val="20"/>
          <w:szCs w:val="20"/>
          <w:color w:val="auto"/>
        </w:rPr>
      </w:pPr>
    </w:p>
    <w:p>
      <w:pPr>
        <w:ind w:left="544" w:hanging="539"/>
        <w:spacing w:after="0" w:line="273" w:lineRule="auto"/>
        <w:tabs>
          <w:tab w:leader="none" w:pos="52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7"/>
          <w:szCs w:val="17"/>
          <w:color w:val="auto"/>
        </w:rPr>
        <w:t>Subject to Clause 24.3, and except to the extent that an amount is the subject of an ongoing bona fide Payment Dispute under the procedure in Clauses 26.4, 26.5 or 40.15, the Paying Party shall pay all Relevant Payments due to the Receiving Party under the terms of this Agreement on or before the [***] day after the end of the Calendar Quarter (including any undisputed portion of a disputed invoice) (“</w:t>
      </w:r>
      <w:r>
        <w:rPr>
          <w:rFonts w:ascii="Arial" w:cs="Arial" w:eastAsia="Arial" w:hAnsi="Arial"/>
          <w:sz w:val="17"/>
          <w:szCs w:val="17"/>
          <w:b w:val="1"/>
          <w:bCs w:val="1"/>
          <w:color w:val="auto"/>
        </w:rPr>
        <w:t>Due Date</w:t>
      </w:r>
      <w:r>
        <w:rPr>
          <w:rFonts w:ascii="Arial" w:cs="Arial" w:eastAsia="Arial" w:hAnsi="Arial"/>
          <w:sz w:val="17"/>
          <w:szCs w:val="17"/>
          <w:color w:val="auto"/>
        </w:rPr>
        <w:t>”). Where there is a bona fide Payment Dispute relating to an invoice, the date for payment of any amount that is outstanding following the Payment Dispute (including any interest that has accrued in accordance with Clause 26.3) shall be the date that falls [***] days after resolution of the Payment Dispute (the “</w:t>
      </w:r>
      <w:r>
        <w:rPr>
          <w:rFonts w:ascii="Arial" w:cs="Arial" w:eastAsia="Arial" w:hAnsi="Arial"/>
          <w:sz w:val="17"/>
          <w:szCs w:val="17"/>
          <w:b w:val="1"/>
          <w:bCs w:val="1"/>
          <w:color w:val="auto"/>
        </w:rPr>
        <w:t>Resolved Payment Due Date</w:t>
      </w:r>
      <w:r>
        <w:rPr>
          <w:rFonts w:ascii="Arial" w:cs="Arial" w:eastAsia="Arial" w:hAnsi="Arial"/>
          <w:sz w:val="17"/>
          <w:szCs w:val="17"/>
          <w:color w:val="auto"/>
        </w:rPr>
        <w:t>”) and not the Due Date.</w:t>
      </w:r>
    </w:p>
    <w:p>
      <w:pPr>
        <w:spacing w:after="0" w:line="83" w:lineRule="exact"/>
        <w:rPr>
          <w:sz w:val="20"/>
          <w:szCs w:val="20"/>
          <w:color w:val="auto"/>
        </w:rPr>
      </w:pPr>
    </w:p>
    <w:p>
      <w:pPr>
        <w:jc w:val="both"/>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26.3</w:t>
        <w:tab/>
        <w:t>Subject to Clause 24.3, if any sum under this Agreement (including any amount that is the subject of a Payment Dispute) is not paid by the Due Date then (without prejudice to the Receiving Party’s other rights and remedies), in addition to the invoice amount, the Receiving Party reserves the right to charge interest on such sum on a day to day from [***] at the rate of, the lesser of [***].</w:t>
      </w:r>
    </w:p>
    <w:p>
      <w:pPr>
        <w:spacing w:after="0" w:line="89" w:lineRule="exact"/>
        <w:rPr>
          <w:sz w:val="20"/>
          <w:szCs w:val="20"/>
          <w:color w:val="auto"/>
        </w:rPr>
      </w:pPr>
    </w:p>
    <w:p>
      <w:pPr>
        <w:ind w:left="544" w:right="140" w:hanging="539"/>
        <w:spacing w:after="0" w:line="263" w:lineRule="auto"/>
        <w:tabs>
          <w:tab w:leader="none" w:pos="524" w:val="left"/>
        </w:tabs>
        <w:rPr>
          <w:sz w:val="20"/>
          <w:szCs w:val="20"/>
          <w:color w:val="auto"/>
        </w:rPr>
      </w:pPr>
      <w:r>
        <w:rPr>
          <w:rFonts w:ascii="Arial" w:cs="Arial" w:eastAsia="Arial" w:hAnsi="Arial"/>
          <w:sz w:val="18"/>
          <w:szCs w:val="18"/>
          <w:color w:val="auto"/>
        </w:rPr>
        <w:t>26.4</w:t>
        <w:tab/>
        <w:t>The Receiving Party may dispute (in good faith) any Payment Report by providing notice in writing to the Paying Party within [***] days of receiving the Payment Report. In addition, the Paying Party may dispute (in good faith) any invoice issued pursuant to Clause 26.1 by notice in writing to the Receiving Party within [***] days of receiving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366" w:name="page367"/>
    <w:bookmarkEnd w:id="366"/>
    <w:p>
      <w:pPr>
        <w:jc w:val="both"/>
        <w:ind w:left="540" w:right="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invoice (each dispute raised pursuant to this Clause 26.4 being a “</w:t>
      </w:r>
      <w:r>
        <w:rPr>
          <w:rFonts w:ascii="Arial" w:cs="Arial" w:eastAsia="Arial" w:hAnsi="Arial"/>
          <w:sz w:val="18"/>
          <w:szCs w:val="18"/>
          <w:b w:val="1"/>
          <w:bCs w:val="1"/>
          <w:color w:val="auto"/>
        </w:rPr>
        <w:t>Payment Dispute</w:t>
      </w:r>
      <w:r>
        <w:rPr>
          <w:rFonts w:ascii="Arial" w:cs="Arial" w:eastAsia="Arial" w:hAnsi="Arial"/>
          <w:sz w:val="18"/>
          <w:szCs w:val="18"/>
          <w:color w:val="auto"/>
        </w:rPr>
        <w:t>”). The notice of a Payment Dispute shall specify (i) which items of the Payment Report or invoice (as applicable) are disputed; and (ii) a full explanation as to why the Party issuing the notice considers that there are errors in the Payment Report or invoice (as applicable).</w:t>
      </w:r>
    </w:p>
    <w:p>
      <w:pPr>
        <w:spacing w:after="0" w:line="85"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26.5</w:t>
        <w:tab/>
        <w:t>Upon a Party’s receipt of a notice of a Payment Dispute, the Senior Representatives of the Parties (or, where nominated by a Senior Representative, a senior individual with responsibility for the financial affairs of a Party) shall promptly meet to discuss the Payment Dispute in good faith. If the Senior Representatives (or their nominees) are unable to resolve the Payment Dispute within [***] Business Days and the issuing Party has not withdrawn their Payment Dispute notice, then:</w:t>
      </w:r>
    </w:p>
    <w:p>
      <w:pPr>
        <w:spacing w:after="0" w:line="92" w:lineRule="exact"/>
        <w:rPr>
          <w:sz w:val="20"/>
          <w:szCs w:val="20"/>
          <w:color w:val="auto"/>
        </w:rPr>
      </w:pPr>
    </w:p>
    <w:p>
      <w:pPr>
        <w:ind w:left="1180" w:right="20" w:hanging="647"/>
        <w:spacing w:after="0" w:line="279" w:lineRule="auto"/>
        <w:tabs>
          <w:tab w:leader="none" w:pos="1160" w:val="left"/>
        </w:tabs>
        <w:rPr>
          <w:sz w:val="20"/>
          <w:szCs w:val="20"/>
          <w:color w:val="auto"/>
        </w:rPr>
      </w:pPr>
      <w:r>
        <w:rPr>
          <w:rFonts w:ascii="Arial" w:cs="Arial" w:eastAsia="Arial" w:hAnsi="Arial"/>
          <w:sz w:val="18"/>
          <w:szCs w:val="18"/>
          <w:color w:val="auto"/>
        </w:rPr>
        <w:t>26.5.1</w:t>
      </w:r>
      <w:r>
        <w:rPr>
          <w:sz w:val="20"/>
          <w:szCs w:val="20"/>
          <w:color w:val="auto"/>
        </w:rPr>
        <w:tab/>
      </w:r>
      <w:r>
        <w:rPr>
          <w:rFonts w:ascii="Arial" w:cs="Arial" w:eastAsia="Arial" w:hAnsi="Arial"/>
          <w:sz w:val="17"/>
          <w:szCs w:val="17"/>
          <w:color w:val="auto"/>
        </w:rPr>
        <w:t>if the amounts in dispute total or exceed $[***] ([***] US dollars), either Party may elect to refer the Payment Dispute to arbitration in accordance with Clause 40.4 (and the other provisions of Clause 40), as if the notice of the Payment Dispute was a Dispute Notice and as if the Senior Representatives did not amicably resolve the Dispute within the relevant time, by providing notice to the other Party within [***] Business Days of the expiry of the [***] Business Day period in this Clause 26.5; and</w:t>
      </w:r>
    </w:p>
    <w:p>
      <w:pPr>
        <w:spacing w:after="0" w:line="77" w:lineRule="exact"/>
        <w:rPr>
          <w:sz w:val="20"/>
          <w:szCs w:val="20"/>
          <w:color w:val="auto"/>
        </w:rPr>
      </w:pPr>
    </w:p>
    <w:p>
      <w:pPr>
        <w:ind w:left="1180" w:right="120" w:hanging="647"/>
        <w:spacing w:after="0" w:line="277" w:lineRule="auto"/>
        <w:tabs>
          <w:tab w:leader="none" w:pos="1160" w:val="left"/>
        </w:tabs>
        <w:rPr>
          <w:sz w:val="20"/>
          <w:szCs w:val="20"/>
          <w:color w:val="auto"/>
        </w:rPr>
      </w:pPr>
      <w:r>
        <w:rPr>
          <w:rFonts w:ascii="Arial" w:cs="Arial" w:eastAsia="Arial" w:hAnsi="Arial"/>
          <w:sz w:val="18"/>
          <w:szCs w:val="18"/>
          <w:color w:val="auto"/>
        </w:rPr>
        <w:t>26.5.2</w:t>
        <w:tab/>
        <w:t>otherwise, following the expiry of the [***] Business Day period set out above, the Payment Dispute shall be referred to the Payment Dispute mechanism set out in Clause 40.15 (the “</w:t>
      </w:r>
      <w:r>
        <w:rPr>
          <w:rFonts w:ascii="Arial" w:cs="Arial" w:eastAsia="Arial" w:hAnsi="Arial"/>
          <w:sz w:val="18"/>
          <w:szCs w:val="18"/>
          <w:b w:val="1"/>
          <w:bCs w:val="1"/>
          <w:color w:val="auto"/>
        </w:rPr>
        <w:t>Payment Dispute Escalation Date</w:t>
      </w:r>
      <w:r>
        <w:rPr>
          <w:rFonts w:ascii="Arial" w:cs="Arial" w:eastAsia="Arial" w:hAnsi="Arial"/>
          <w:sz w:val="18"/>
          <w:szCs w:val="18"/>
          <w:color w:val="auto"/>
        </w:rPr>
        <w:t>”).</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26.6</w:t>
        <w:tab/>
        <w:t>All sums payable under this Agreement shall be paid free and clear of all deductions and withholdings in respect of tax whatsoever, save only as may be required by Applicable Law.</w:t>
      </w:r>
    </w:p>
    <w:p>
      <w:pPr>
        <w:spacing w:after="0" w:line="76" w:lineRule="exact"/>
        <w:rPr>
          <w:sz w:val="20"/>
          <w:szCs w:val="20"/>
          <w:color w:val="auto"/>
        </w:rPr>
      </w:pPr>
    </w:p>
    <w:p>
      <w:pPr>
        <w:jc w:val="both"/>
        <w:ind w:left="540" w:right="20" w:hanging="539"/>
        <w:spacing w:after="0" w:line="263" w:lineRule="auto"/>
        <w:tabs>
          <w:tab w:leader="none" w:pos="520" w:val="left"/>
        </w:tabs>
        <w:rPr>
          <w:sz w:val="20"/>
          <w:szCs w:val="20"/>
          <w:color w:val="auto"/>
        </w:rPr>
      </w:pPr>
      <w:r>
        <w:rPr>
          <w:rFonts w:ascii="Arial" w:cs="Arial" w:eastAsia="Arial" w:hAnsi="Arial"/>
          <w:sz w:val="18"/>
          <w:szCs w:val="18"/>
          <w:color w:val="auto"/>
        </w:rPr>
        <w:t>26.7</w:t>
        <w:tab/>
        <w:t>If any such deduction or withholding as is mentioned in Clause 26.6 is required by Applicable Law to be made by the Paying Party in respect of Income Tax, the Paying Party shall not be obliged to pay any additional amounts to the Receiving Party in respect of such amounts deducted or withheld.</w:t>
      </w:r>
    </w:p>
    <w:p>
      <w:pPr>
        <w:spacing w:after="0" w:line="89" w:lineRule="exact"/>
        <w:rPr>
          <w:sz w:val="20"/>
          <w:szCs w:val="20"/>
          <w:color w:val="auto"/>
        </w:rPr>
      </w:pPr>
    </w:p>
    <w:p>
      <w:pPr>
        <w:ind w:left="540" w:hanging="539"/>
        <w:spacing w:after="0" w:line="275" w:lineRule="auto"/>
        <w:tabs>
          <w:tab w:leader="none" w:pos="52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7"/>
          <w:szCs w:val="17"/>
          <w:color w:val="auto"/>
        </w:rPr>
        <w:t>Where the Paying Party is required to make any deduction or withholding as is mentioned in Clause 26.7, the Paying Party will use all reasonable endeavours to enable or assist the Receiving Party to claim exemption from, or a reduced rate of, the relevant Income Tax under the China-UK double tax treaty, or enable the Receiving Party to claim double tax relief for any such deduction or withholding, such endeavours to include promptly providing the Receiving Party with evidence reasonably satisfactory to the Receiving Party that such deduction or withholding has been made or (as applicable) any appropriate payment paid to the relevant tax authorities.</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color w:val="auto"/>
        </w:rPr>
        <w:t>All amounts stated in this Agreement are exclusive of any Indirect Taxes. Accordingly:</w:t>
      </w:r>
    </w:p>
    <w:p>
      <w:pPr>
        <w:spacing w:after="0" w:line="131" w:lineRule="exact"/>
        <w:rPr>
          <w:sz w:val="20"/>
          <w:szCs w:val="20"/>
          <w:color w:val="auto"/>
        </w:rPr>
      </w:pPr>
    </w:p>
    <w:p>
      <w:pPr>
        <w:jc w:val="both"/>
        <w:ind w:left="1180" w:right="100" w:hanging="647"/>
        <w:spacing w:after="0" w:line="263" w:lineRule="auto"/>
        <w:tabs>
          <w:tab w:leader="none" w:pos="1160" w:val="left"/>
        </w:tabs>
        <w:rPr>
          <w:sz w:val="20"/>
          <w:szCs w:val="20"/>
          <w:color w:val="auto"/>
        </w:rPr>
      </w:pPr>
      <w:r>
        <w:rPr>
          <w:rFonts w:ascii="Arial" w:cs="Arial" w:eastAsia="Arial" w:hAnsi="Arial"/>
          <w:sz w:val="18"/>
          <w:szCs w:val="18"/>
          <w:color w:val="auto"/>
        </w:rPr>
        <w:t>26.9.1</w:t>
        <w:tab/>
        <w:t>if any such deduction or withholding as is mentioned in Clause 26.6 is required by Applicable Law to be made by the Paying Party in respect of Indirect Taxes, the Paying Party shall be obliged to pay such additional amount as will, after such deduction or withholding has been made, leave the Receiving Party with</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20"/>
          </w:cols>
          <w:pgMar w:left="440" w:top="270" w:right="539" w:bottom="1440" w:gutter="0" w:footer="0" w:header="0"/>
        </w:sectPr>
      </w:pPr>
    </w:p>
    <w:bookmarkStart w:id="367" w:name="page368"/>
    <w:bookmarkEnd w:id="367"/>
    <w:p>
      <w:pPr>
        <w:ind w:left="120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same amount as it would have been entitled to receive in the absence of any such requirement to make a deduction or withholding. Where the Paying Party seeks to apply for any tax exemption in respect of Indirect Taxes according to Chinese domestic laws, the Receiving Party will use all reasonable efforts to enable or assist the Paying Party to claim the relevant beneficial tax treatment; and</w:t>
      </w:r>
    </w:p>
    <w:p>
      <w:pPr>
        <w:spacing w:after="0" w:line="54" w:lineRule="exact"/>
        <w:rPr>
          <w:sz w:val="20"/>
          <w:szCs w:val="20"/>
          <w:color w:val="auto"/>
        </w:rPr>
      </w:pPr>
    </w:p>
    <w:p>
      <w:pPr>
        <w:ind w:left="1184" w:right="40" w:hanging="647"/>
        <w:spacing w:after="0" w:line="279" w:lineRule="auto"/>
        <w:tabs>
          <w:tab w:leader="none" w:pos="1164" w:val="left"/>
        </w:tabs>
        <w:rPr>
          <w:sz w:val="20"/>
          <w:szCs w:val="20"/>
          <w:color w:val="auto"/>
        </w:rPr>
      </w:pPr>
      <w:r>
        <w:rPr>
          <w:rFonts w:ascii="Arial" w:cs="Arial" w:eastAsia="Arial" w:hAnsi="Arial"/>
          <w:sz w:val="18"/>
          <w:szCs w:val="18"/>
          <w:color w:val="auto"/>
        </w:rPr>
        <w:t>26.9.2</w:t>
      </w:r>
      <w:r>
        <w:rPr>
          <w:sz w:val="20"/>
          <w:szCs w:val="20"/>
          <w:color w:val="auto"/>
        </w:rPr>
        <w:tab/>
      </w:r>
      <w:r>
        <w:rPr>
          <w:rFonts w:ascii="Arial" w:cs="Arial" w:eastAsia="Arial" w:hAnsi="Arial"/>
          <w:sz w:val="17"/>
          <w:szCs w:val="17"/>
          <w:color w:val="auto"/>
        </w:rPr>
        <w:t>if any sum payable by the Paying Party under this Agreement is, as a result of Applicable Law, subject to Indirect Taxes in the hands of the Receiving Party, then the Paying Party shall pay such additional amount as shall be required to ensure that the total amount paid, less the Indirect Taxes chargeable on such amount, is equal to the amount that would have been payable if the sum payable by the Paying Party were not subject to those Indirect Taxes in the hands of the Receiving Party.</w:t>
      </w:r>
    </w:p>
    <w:p>
      <w:pPr>
        <w:spacing w:after="0" w:line="77" w:lineRule="exact"/>
        <w:rPr>
          <w:sz w:val="20"/>
          <w:szCs w:val="20"/>
          <w:color w:val="auto"/>
        </w:rPr>
      </w:pPr>
    </w:p>
    <w:p>
      <w:pPr>
        <w:ind w:left="544" w:right="500" w:hanging="539"/>
        <w:spacing w:after="0" w:line="342" w:lineRule="auto"/>
        <w:rPr>
          <w:sz w:val="20"/>
          <w:szCs w:val="20"/>
          <w:color w:val="auto"/>
        </w:rPr>
      </w:pPr>
      <w:r>
        <w:rPr>
          <w:rFonts w:ascii="Arial" w:cs="Arial" w:eastAsia="Arial" w:hAnsi="Arial"/>
          <w:sz w:val="16"/>
          <w:szCs w:val="16"/>
          <w:color w:val="auto"/>
        </w:rPr>
        <w:t>26.10 All sums properly due to the Receiving Party under this Agreement shall be paid in full and the Paying Party shall not be entitled to assert against the Receiving Party any credit, set-off or counterclaim in order to justify withholding payment of any sum properly due.</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PART F: TERM AND TERMINATION</w:t>
      </w:r>
    </w:p>
    <w:p>
      <w:pPr>
        <w:spacing w:after="0" w:line="131" w:lineRule="exact"/>
        <w:rPr>
          <w:sz w:val="20"/>
          <w:szCs w:val="20"/>
          <w:color w:val="auto"/>
        </w:rPr>
      </w:pPr>
    </w:p>
    <w:p>
      <w:pPr>
        <w:ind w:left="544" w:hanging="544"/>
        <w:spacing w:after="0"/>
        <w:tabs>
          <w:tab w:leader="none" w:pos="54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35"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27.1</w:t>
        <w:tab/>
        <w:t>This Agreement shall come into force on the date of this Agreement and shall continue in force for a period of [***] (after which the Agreement shall automatically continue to renew for consecutive [***] periods) until the later of:</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27.1.1</w:t>
      </w:r>
      <w:r>
        <w:rPr>
          <w:sz w:val="20"/>
          <w:szCs w:val="20"/>
          <w:color w:val="auto"/>
        </w:rPr>
        <w:tab/>
      </w:r>
      <w:r>
        <w:rPr>
          <w:rFonts w:ascii="Arial" w:cs="Arial" w:eastAsia="Arial" w:hAnsi="Arial"/>
          <w:sz w:val="16"/>
          <w:szCs w:val="16"/>
          <w:color w:val="auto"/>
        </w:rPr>
        <w:t>the date of expiry of the last to expire of the Patents licensed pursuant to this Agreement; and</w:t>
      </w:r>
    </w:p>
    <w:p>
      <w:pPr>
        <w:spacing w:after="0" w:line="131"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27.1.2</w:t>
        <w:tab/>
        <w:t>the date that the last of the Trade Secrets licensed pursuant to this Agreement ceases to be confidential (otherwise than through the fault of a Party),</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unless terminated earlier in accordance with Clause 28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35"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color w:val="auto"/>
        </w:rPr>
        <w:t>27.2</w:t>
        <w:tab/>
        <w:t>For the avoidance of doubt, neither Party shall have a right to terminate the Agreement upon the expiry of the initial thirty year period or the expiry of any further ten year extension, other than in accordance with Clause 28.</w:t>
      </w:r>
    </w:p>
    <w:p>
      <w:pPr>
        <w:spacing w:after="0" w:line="315" w:lineRule="exact"/>
        <w:rPr>
          <w:sz w:val="20"/>
          <w:szCs w:val="20"/>
          <w:color w:val="auto"/>
        </w:rPr>
      </w:pPr>
    </w:p>
    <w:p>
      <w:pPr>
        <w:ind w:left="544" w:hanging="544"/>
        <w:spacing w:after="0"/>
        <w:tabs>
          <w:tab w:leader="none" w:pos="544"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AND TERMINATION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i w:val="1"/>
          <w:iCs w:val="1"/>
          <w:u w:val="single" w:color="auto"/>
          <w:color w:val="auto"/>
        </w:rPr>
        <w:t xml:space="preserve">Termination by Agreement. </w:t>
      </w:r>
      <w:r>
        <w:rPr>
          <w:rFonts w:ascii="Arial" w:cs="Arial" w:eastAsia="Arial" w:hAnsi="Arial"/>
          <w:sz w:val="16"/>
          <w:szCs w:val="16"/>
          <w:color w:val="auto"/>
        </w:rPr>
        <w:t>This Agreement may be terminated by the unanimous written agreement of the Parties.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i w:val="1"/>
          <w:iCs w:val="1"/>
          <w:u w:val="single" w:color="auto"/>
          <w:color w:val="auto"/>
        </w:rPr>
        <w:t xml:space="preserve">JVCo Material Breach. </w:t>
      </w:r>
      <w:r>
        <w:rPr>
          <w:rFonts w:ascii="Arial" w:cs="Arial" w:eastAsia="Arial" w:hAnsi="Arial"/>
          <w:sz w:val="16"/>
          <w:szCs w:val="16"/>
          <w:color w:val="auto"/>
        </w:rPr>
        <w:t>If there is a Material Breach of this Agreement by JVCo and that Material Breach is Not Resolved after following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Material Breach escalation process in Clause 29, ARM may elect to either:</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4"/>
          </w:cols>
          <w:pgMar w:left="436" w:top="274" w:right="499" w:bottom="1440" w:gutter="0" w:footer="0" w:header="0"/>
        </w:sectPr>
      </w:pPr>
    </w:p>
    <w:bookmarkStart w:id="368" w:name="page369"/>
    <w:bookmarkEnd w:id="368"/>
    <w:p>
      <w:pPr>
        <w:ind w:left="1180" w:right="80" w:hanging="647"/>
        <w:spacing w:after="0" w:line="277"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28.2.1</w:t>
        <w:tab/>
        <w:t>suspend the license to JVCo of the ARM Licensed IP in accordance with Clause 30.1 (and may subsequently terminate this Agreement in accordance with Clause 30.1.5); or</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28.2.2</w:t>
      </w:r>
      <w:r>
        <w:rPr>
          <w:sz w:val="20"/>
          <w:szCs w:val="20"/>
          <w:color w:val="auto"/>
        </w:rPr>
        <w:tab/>
      </w:r>
      <w:r>
        <w:rPr>
          <w:rFonts w:ascii="Arial" w:cs="Arial" w:eastAsia="Arial" w:hAnsi="Arial"/>
          <w:sz w:val="16"/>
          <w:szCs w:val="16"/>
          <w:color w:val="auto"/>
        </w:rPr>
        <w:t>subject to Clause 30.2, terminate this Agreement on no fewer than [***] Business Days’ written notice to JVCo.</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i w:val="1"/>
          <w:iCs w:val="1"/>
          <w:u w:val="single" w:color="auto"/>
          <w:color w:val="auto"/>
        </w:rPr>
        <w:t xml:space="preserve">ARM Material Breach. </w:t>
      </w:r>
      <w:r>
        <w:rPr>
          <w:rFonts w:ascii="Arial" w:cs="Arial" w:eastAsia="Arial" w:hAnsi="Arial"/>
          <w:sz w:val="16"/>
          <w:szCs w:val="16"/>
          <w:color w:val="auto"/>
        </w:rPr>
        <w:t>If there is a Material Breach of this Agreement by ARM and that Material Breach is Not Resolved after following the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Material Breach escalation process in Clause 29, JVCo may elect to either:</w:t>
      </w:r>
    </w:p>
    <w:p>
      <w:pPr>
        <w:spacing w:after="0" w:line="116" w:lineRule="exact"/>
        <w:rPr>
          <w:sz w:val="20"/>
          <w:szCs w:val="20"/>
          <w:color w:val="auto"/>
        </w:rPr>
      </w:pPr>
    </w:p>
    <w:p>
      <w:pPr>
        <w:ind w:left="1180" w:right="80" w:hanging="647"/>
        <w:spacing w:after="0" w:line="277" w:lineRule="auto"/>
        <w:tabs>
          <w:tab w:leader="none" w:pos="1160" w:val="left"/>
        </w:tabs>
        <w:rPr>
          <w:sz w:val="20"/>
          <w:szCs w:val="20"/>
          <w:color w:val="auto"/>
        </w:rPr>
      </w:pPr>
      <w:r>
        <w:rPr>
          <w:rFonts w:ascii="Arial" w:cs="Arial" w:eastAsia="Arial" w:hAnsi="Arial"/>
          <w:sz w:val="18"/>
          <w:szCs w:val="18"/>
          <w:color w:val="auto"/>
        </w:rPr>
        <w:t>28.3.1</w:t>
        <w:tab/>
        <w:t>suspend the license to ARM of the JVCo Licensed IP in accordance with Clause 30.1 (and may subsequently terminate this Agreement in accordance with Clause 30.1.5); or</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28.3.2</w:t>
      </w:r>
      <w:r>
        <w:rPr>
          <w:sz w:val="20"/>
          <w:szCs w:val="20"/>
          <w:color w:val="auto"/>
        </w:rPr>
        <w:tab/>
      </w:r>
      <w:r>
        <w:rPr>
          <w:rFonts w:ascii="Arial" w:cs="Arial" w:eastAsia="Arial" w:hAnsi="Arial"/>
          <w:sz w:val="16"/>
          <w:szCs w:val="16"/>
          <w:color w:val="auto"/>
        </w:rPr>
        <w:t>subject to Clause 30.2, terminate this Agreement on no fewer than [***] Business Days’ written notice to ARM.</w:t>
      </w:r>
    </w:p>
    <w:p>
      <w:pPr>
        <w:spacing w:after="0" w:line="131" w:lineRule="exact"/>
        <w:rPr>
          <w:sz w:val="20"/>
          <w:szCs w:val="20"/>
          <w:color w:val="auto"/>
        </w:rPr>
      </w:pPr>
    </w:p>
    <w:p>
      <w:pPr>
        <w:ind w:left="540" w:right="200" w:hanging="539"/>
        <w:spacing w:after="0" w:line="257" w:lineRule="auto"/>
        <w:tabs>
          <w:tab w:leader="none" w:pos="52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i w:val="1"/>
          <w:iCs w:val="1"/>
          <w:u w:val="single" w:color="auto"/>
          <w:color w:val="auto"/>
        </w:rPr>
        <w:t xml:space="preserve">Insolvency of JVCo. </w:t>
      </w:r>
      <w:r>
        <w:rPr>
          <w:rFonts w:ascii="Arial" w:cs="Arial" w:eastAsia="Arial" w:hAnsi="Arial"/>
          <w:sz w:val="18"/>
          <w:szCs w:val="18"/>
          <w:color w:val="auto"/>
        </w:rPr>
        <w:t>If (i) JVCo becomes bankrupt or insolvent, or is the subject of proceedings for liquidation or dissolution (and such</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proceedings are not terminated or discharged within a reasonable period of time) or has a receiver appointed over all or a significant part of its assets, or becomes unable to pay its debts as they become due; or (ii) the cumulative operating losses of JVCo incurred from the Closing Date equal or exceed the total Registered Capital, ARM may, by written notice to JVCo, elect, subject to Clause 30.2, to terminate this Agreement with immediate effect or with effect from a specified date.</w:t>
      </w:r>
    </w:p>
    <w:p>
      <w:pPr>
        <w:spacing w:after="0" w:line="93" w:lineRule="exact"/>
        <w:rPr>
          <w:sz w:val="20"/>
          <w:szCs w:val="20"/>
          <w:color w:val="auto"/>
        </w:rPr>
      </w:pPr>
    </w:p>
    <w:p>
      <w:pPr>
        <w:jc w:val="both"/>
        <w:ind w:left="540" w:hanging="539"/>
        <w:spacing w:after="0" w:line="259" w:lineRule="auto"/>
        <w:tabs>
          <w:tab w:leader="none" w:pos="52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8"/>
          <w:szCs w:val="18"/>
          <w:i w:val="1"/>
          <w:iCs w:val="1"/>
          <w:u w:val="single" w:color="auto"/>
          <w:color w:val="auto"/>
        </w:rPr>
        <w:t xml:space="preserve">Insolvency of ARM. </w:t>
      </w:r>
      <w:r>
        <w:rPr>
          <w:rFonts w:ascii="Arial" w:cs="Arial" w:eastAsia="Arial" w:hAnsi="Arial"/>
          <w:sz w:val="18"/>
          <w:szCs w:val="18"/>
          <w:color w:val="auto"/>
        </w:rPr>
        <w:t>If ARM becomes bankrupt or insolvent, or is the subject of proceedings for liquidation or dissolution (and such procedure is</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not terminated or discharged within a reasonable period of time), or has a receiver appointed over all or a significant part of its assets or becomes unable to pay its debts as they become due, JVCo may, by written notice to ARM, elect, subject to Clause 30.2, to terminate this Agreement with immediate effect or with effect from a specified date.</w:t>
      </w:r>
    </w:p>
    <w:p>
      <w:pPr>
        <w:spacing w:after="0" w:line="92" w:lineRule="exact"/>
        <w:rPr>
          <w:sz w:val="20"/>
          <w:szCs w:val="20"/>
          <w:color w:val="auto"/>
        </w:rPr>
      </w:pPr>
    </w:p>
    <w:p>
      <w:pPr>
        <w:ind w:left="540" w:right="160" w:hanging="539"/>
        <w:spacing w:after="0" w:line="259" w:lineRule="auto"/>
        <w:tabs>
          <w:tab w:leader="none" w:pos="52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8"/>
          <w:szCs w:val="18"/>
          <w:i w:val="1"/>
          <w:iCs w:val="1"/>
          <w:u w:val="single" w:color="auto"/>
          <w:color w:val="auto"/>
        </w:rPr>
        <w:t xml:space="preserve">Extended Force Majeure Event. </w:t>
      </w:r>
      <w:r>
        <w:rPr>
          <w:rFonts w:ascii="Arial" w:cs="Arial" w:eastAsia="Arial" w:hAnsi="Arial"/>
          <w:sz w:val="18"/>
          <w:szCs w:val="18"/>
          <w:color w:val="auto"/>
        </w:rPr>
        <w:t>Either Party may elect, subject to Clause 30.2, to terminate this Agreement with immediate effect if, as a result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of a Force Majeure Event, the performance of one or more material obligations of a Party (other than an obligation to pay money) is currently suspended in accordance with Clause 42.2 and that suspension has persisted for a continuous period of [***] days or longer and is having a material adverse effect on the Party electing to terminate this Agreement.</w:t>
      </w:r>
    </w:p>
    <w:p>
      <w:pPr>
        <w:spacing w:after="0" w:line="92" w:lineRule="exact"/>
        <w:rPr>
          <w:sz w:val="20"/>
          <w:szCs w:val="20"/>
          <w:color w:val="auto"/>
        </w:rPr>
      </w:pPr>
    </w:p>
    <w:p>
      <w:pPr>
        <w:ind w:left="540" w:right="80" w:hanging="539"/>
        <w:spacing w:after="0" w:line="277" w:lineRule="auto"/>
        <w:tabs>
          <w:tab w:leader="none" w:pos="52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8"/>
          <w:szCs w:val="18"/>
          <w:i w:val="1"/>
          <w:iCs w:val="1"/>
          <w:u w:val="single" w:color="auto"/>
          <w:color w:val="auto"/>
        </w:rPr>
        <w:t xml:space="preserve">Liquidation of JVCo. </w:t>
      </w:r>
      <w:r>
        <w:rPr>
          <w:rFonts w:ascii="Arial" w:cs="Arial" w:eastAsia="Arial" w:hAnsi="Arial"/>
          <w:sz w:val="18"/>
          <w:szCs w:val="18"/>
          <w:color w:val="auto"/>
        </w:rPr>
        <w:t>If JVCo is to be liquidated (under Article 72 of the Joint Venture Contract or otherwise), at any time after the first to occur</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of:</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28.7.1</w:t>
      </w:r>
      <w:r>
        <w:rPr>
          <w:sz w:val="20"/>
          <w:szCs w:val="20"/>
          <w:color w:val="auto"/>
        </w:rPr>
        <w:tab/>
      </w:r>
      <w:r>
        <w:rPr>
          <w:rFonts w:ascii="Arial" w:cs="Arial" w:eastAsia="Arial" w:hAnsi="Arial"/>
          <w:sz w:val="16"/>
          <w:szCs w:val="16"/>
          <w:color w:val="auto"/>
        </w:rPr>
        <w:t>an event triggering Article 72 of the Joint Venture Contract; or</w:t>
      </w:r>
    </w:p>
    <w:p>
      <w:pPr>
        <w:spacing w:after="0" w:line="131" w:lineRule="exact"/>
        <w:rPr>
          <w:sz w:val="20"/>
          <w:szCs w:val="20"/>
          <w:color w:val="auto"/>
        </w:rPr>
      </w:pPr>
    </w:p>
    <w:p>
      <w:pPr>
        <w:ind w:left="1180" w:right="780" w:hanging="647"/>
        <w:spacing w:after="0" w:line="277" w:lineRule="auto"/>
        <w:tabs>
          <w:tab w:leader="none" w:pos="1160" w:val="left"/>
        </w:tabs>
        <w:rPr>
          <w:sz w:val="20"/>
          <w:szCs w:val="20"/>
          <w:color w:val="auto"/>
        </w:rPr>
      </w:pPr>
      <w:r>
        <w:rPr>
          <w:rFonts w:ascii="Arial" w:cs="Arial" w:eastAsia="Arial" w:hAnsi="Arial"/>
          <w:sz w:val="18"/>
          <w:szCs w:val="18"/>
          <w:color w:val="auto"/>
        </w:rPr>
        <w:t>28.7.2</w:t>
        <w:tab/>
        <w:t>a liquidator being appointed to JVCo, ARM may, by notice in writing to JVCo, elect, subject to Clause 30.2, to terminate this Agreement with immediate effect or with effect from a specified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40" w:top="274" w:right="479" w:bottom="1440" w:gutter="0" w:footer="0" w:header="0"/>
        </w:sectPr>
      </w:pPr>
    </w:p>
    <w:bookmarkStart w:id="369" w:name="page370"/>
    <w:bookmarkEnd w:id="369"/>
    <w:p>
      <w:pPr>
        <w:ind w:left="544" w:right="24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28.8</w:t>
      </w:r>
      <w:r>
        <w:rPr>
          <w:sz w:val="20"/>
          <w:szCs w:val="20"/>
          <w:color w:val="auto"/>
        </w:rPr>
        <w:tab/>
      </w:r>
      <w:r>
        <w:rPr>
          <w:rFonts w:ascii="Arial" w:cs="Arial" w:eastAsia="Arial" w:hAnsi="Arial"/>
          <w:sz w:val="18"/>
          <w:szCs w:val="18"/>
          <w:i w:val="1"/>
          <w:iCs w:val="1"/>
          <w:u w:val="single" w:color="auto"/>
          <w:color w:val="auto"/>
        </w:rPr>
        <w:t xml:space="preserve">ARM call of equity </w:t>
      </w:r>
      <w:r>
        <w:rPr>
          <w:rFonts w:ascii="Arial" w:cs="Arial" w:eastAsia="Arial" w:hAnsi="Arial"/>
          <w:sz w:val="18"/>
          <w:szCs w:val="18"/>
          <w:color w:val="auto"/>
        </w:rPr>
        <w:t>If ARM elects in an ARM Consequences Notice to require the sale to ARM of the Equity Interest of one or more Direct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Investors, ARM may, by written notice to JVCo and subject to Clause 30.2, elect to terminate this Agreement with immediate effect or with effect from a specified date. Terms used in this Clause 28.8 that are not defined in this Agreement shall have the meaning given to them in the Joint Venture Contract.</w:t>
      </w:r>
    </w:p>
    <w:p>
      <w:pPr>
        <w:spacing w:after="0" w:line="92" w:lineRule="exact"/>
        <w:rPr>
          <w:sz w:val="20"/>
          <w:szCs w:val="20"/>
          <w:color w:val="auto"/>
        </w:rPr>
      </w:pPr>
    </w:p>
    <w:p>
      <w:pPr>
        <w:ind w:left="544" w:right="320" w:hanging="539"/>
        <w:spacing w:after="0" w:line="342" w:lineRule="auto"/>
        <w:tabs>
          <w:tab w:leader="none" w:pos="524"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6"/>
          <w:szCs w:val="16"/>
          <w:i w:val="1"/>
          <w:iCs w:val="1"/>
          <w:u w:val="single" w:color="auto"/>
          <w:color w:val="auto"/>
        </w:rPr>
        <w:t xml:space="preserve">Termination of the Investment Agreement. </w:t>
      </w:r>
      <w:r>
        <w:rPr>
          <w:rFonts w:ascii="Arial" w:cs="Arial" w:eastAsia="Arial" w:hAnsi="Arial"/>
          <w:sz w:val="16"/>
          <w:szCs w:val="16"/>
          <w:color w:val="auto"/>
        </w:rPr>
        <w:t>ARM may elect to terminate this Agreement with immediate effect, or with effect from a specified</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date, if the Investment Agreement terminates for any reason prior to the Closing (as such term is defined in the Investment Agreement).</w:t>
      </w:r>
    </w:p>
    <w:p>
      <w:pPr>
        <w:spacing w:after="0" w:line="29" w:lineRule="exact"/>
        <w:rPr>
          <w:sz w:val="20"/>
          <w:szCs w:val="20"/>
          <w:color w:val="auto"/>
        </w:rPr>
      </w:pPr>
    </w:p>
    <w:p>
      <w:pPr>
        <w:ind w:left="544" w:right="80" w:hanging="539"/>
        <w:spacing w:after="0" w:line="263" w:lineRule="auto"/>
        <w:rPr>
          <w:sz w:val="20"/>
          <w:szCs w:val="20"/>
          <w:color w:val="auto"/>
        </w:rPr>
      </w:pPr>
      <w:r>
        <w:rPr>
          <w:rFonts w:ascii="Arial" w:cs="Arial" w:eastAsia="Arial" w:hAnsi="Arial"/>
          <w:sz w:val="18"/>
          <w:szCs w:val="18"/>
          <w:color w:val="auto"/>
        </w:rPr>
        <w:t>28.10 The rights and remedies provided to a Party under this Clause 28 are not exclusive of any other rights and remedies available to that Party under any of the Transaction Documents or under Applicable Law (including any right for a Party to damages for breach of this Agreement or any of the other Transaction Documents).</w:t>
      </w:r>
    </w:p>
    <w:p>
      <w:pPr>
        <w:spacing w:after="0" w:line="328" w:lineRule="exact"/>
        <w:rPr>
          <w:sz w:val="20"/>
          <w:szCs w:val="20"/>
          <w:color w:val="auto"/>
        </w:rPr>
      </w:pPr>
    </w:p>
    <w:p>
      <w:pPr>
        <w:ind w:left="544" w:hanging="544"/>
        <w:spacing w:after="0"/>
        <w:tabs>
          <w:tab w:leader="none" w:pos="54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BREACH ESCALATION PROCESS</w:t>
      </w:r>
    </w:p>
    <w:p>
      <w:pPr>
        <w:spacing w:after="0" w:line="131" w:lineRule="exact"/>
        <w:rPr>
          <w:sz w:val="20"/>
          <w:szCs w:val="20"/>
          <w:color w:val="auto"/>
        </w:rPr>
      </w:pPr>
    </w:p>
    <w:p>
      <w:pPr>
        <w:ind w:left="544" w:hanging="539"/>
        <w:spacing w:after="0" w:line="347" w:lineRule="auto"/>
        <w:tabs>
          <w:tab w:leader="none" w:pos="524"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This Material Breach escalation process applies if a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is in Material Breach, or has committed a Material Breach, of this Agreement and the other Party (the “</w:t>
      </w:r>
      <w:r>
        <w:rPr>
          <w:rFonts w:ascii="Arial" w:cs="Arial" w:eastAsia="Arial" w:hAnsi="Arial"/>
          <w:sz w:val="16"/>
          <w:szCs w:val="16"/>
          <w:b w:val="1"/>
          <w:bCs w:val="1"/>
          <w:color w:val="auto"/>
        </w:rPr>
        <w:t>Innocent Party</w:t>
      </w:r>
      <w:r>
        <w:rPr>
          <w:rFonts w:ascii="Arial" w:cs="Arial" w:eastAsia="Arial" w:hAnsi="Arial"/>
          <w:sz w:val="16"/>
          <w:szCs w:val="16"/>
          <w:color w:val="auto"/>
        </w:rPr>
        <w:t>”) is seeking to rely on its remedies set out in Clauses 28.2 or 28.3 (as applicable).</w:t>
      </w:r>
    </w:p>
    <w:p>
      <w:pPr>
        <w:spacing w:after="0" w:line="21" w:lineRule="exact"/>
        <w:rPr>
          <w:sz w:val="20"/>
          <w:szCs w:val="20"/>
          <w:color w:val="auto"/>
        </w:rPr>
      </w:pPr>
    </w:p>
    <w:p>
      <w:pPr>
        <w:ind w:left="544" w:right="540" w:hanging="539"/>
        <w:spacing w:after="0" w:line="282" w:lineRule="auto"/>
        <w:tabs>
          <w:tab w:leader="none" w:pos="524" w:val="left"/>
        </w:tabs>
        <w:rPr>
          <w:sz w:val="20"/>
          <w:szCs w:val="20"/>
          <w:color w:val="auto"/>
        </w:rPr>
      </w:pPr>
      <w:r>
        <w:rPr>
          <w:rFonts w:ascii="Arial" w:cs="Arial" w:eastAsia="Arial" w:hAnsi="Arial"/>
          <w:sz w:val="18"/>
          <w:szCs w:val="18"/>
          <w:color w:val="auto"/>
        </w:rPr>
        <w:t>29.2</w:t>
        <w:tab/>
        <w:t>The Innocent Party shall give written notice (a “</w:t>
      </w:r>
      <w:r>
        <w:rPr>
          <w:rFonts w:ascii="Arial" w:cs="Arial" w:eastAsia="Arial" w:hAnsi="Arial"/>
          <w:sz w:val="18"/>
          <w:szCs w:val="18"/>
          <w:b w:val="1"/>
          <w:bCs w:val="1"/>
          <w:color w:val="auto"/>
        </w:rPr>
        <w:t>Rectification Notice</w:t>
      </w:r>
      <w:r>
        <w:rPr>
          <w:rFonts w:ascii="Arial" w:cs="Arial" w:eastAsia="Arial" w:hAnsi="Arial"/>
          <w:sz w:val="18"/>
          <w:szCs w:val="18"/>
          <w:color w:val="auto"/>
        </w:rPr>
        <w:t>”) to the Breaching Party requiring the Breaching Party to rectify the Material Breach within a period of no fewer than [***] Business Days.</w:t>
      </w:r>
    </w:p>
    <w:p>
      <w:pPr>
        <w:spacing w:after="0" w:line="71"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29.3</w:t>
        <w:tab/>
        <w:t>If, and only if, a Material Breach is not rectified by the Breaching Party before the expiry of the period specified in the Rectification Notice, the Innocent Party may escalate the Material Breach to the Senior Representatives of each Party, by providing notice in writing to the Breaching Party, setting out full details of the Material Breach (“</w:t>
      </w:r>
      <w:r>
        <w:rPr>
          <w:rFonts w:ascii="Arial" w:cs="Arial" w:eastAsia="Arial" w:hAnsi="Arial"/>
          <w:sz w:val="18"/>
          <w:szCs w:val="18"/>
          <w:b w:val="1"/>
          <w:bCs w:val="1"/>
          <w:color w:val="auto"/>
        </w:rPr>
        <w:t>Escalation Notice</w:t>
      </w:r>
      <w:r>
        <w:rPr>
          <w:rFonts w:ascii="Arial" w:cs="Arial" w:eastAsia="Arial" w:hAnsi="Arial"/>
          <w:sz w:val="18"/>
          <w:szCs w:val="18"/>
          <w:color w:val="auto"/>
        </w:rPr>
        <w:t>”).</w:t>
      </w:r>
    </w:p>
    <w:p>
      <w:pPr>
        <w:spacing w:after="0" w:line="89"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29.4</w:t>
        <w:tab/>
        <w:t>Following provision of an Escalation Notice, the Senior Representatives of the Parties shall promptly meet to discuss in good faith a resolution of the Material Breach.</w:t>
      </w:r>
    </w:p>
    <w:p>
      <w:pPr>
        <w:spacing w:after="0" w:line="76" w:lineRule="exact"/>
        <w:rPr>
          <w:sz w:val="20"/>
          <w:szCs w:val="20"/>
          <w:color w:val="auto"/>
        </w:rPr>
      </w:pPr>
    </w:p>
    <w:p>
      <w:pPr>
        <w:ind w:left="544" w:right="640" w:hanging="539"/>
        <w:spacing w:after="0" w:line="342" w:lineRule="auto"/>
        <w:tabs>
          <w:tab w:leader="none" w:pos="524"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6"/>
          <w:szCs w:val="16"/>
          <w:color w:val="auto"/>
        </w:rPr>
        <w:t>If the Parties are unable to agree in writing a resolution of the Material Breach within [***] Business Days of the Senior Representatives meeting, the Material Breach shall be regarded as “</w:t>
      </w:r>
      <w:r>
        <w:rPr>
          <w:rFonts w:ascii="Arial" w:cs="Arial" w:eastAsia="Arial" w:hAnsi="Arial"/>
          <w:sz w:val="16"/>
          <w:szCs w:val="16"/>
          <w:b w:val="1"/>
          <w:bCs w:val="1"/>
          <w:color w:val="auto"/>
        </w:rPr>
        <w:t>Not Resolved</w:t>
      </w:r>
      <w:r>
        <w:rPr>
          <w:rFonts w:ascii="Arial" w:cs="Arial" w:eastAsia="Arial" w:hAnsi="Arial"/>
          <w:sz w:val="16"/>
          <w:szCs w:val="16"/>
          <w:color w:val="auto"/>
        </w:rPr>
        <w:t>”. The Parties may extend this deadline by mutual written agreement.</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4"/>
          </w:cols>
          <w:pgMar w:left="436" w:top="274" w:right="459" w:bottom="1440" w:gutter="0" w:footer="0" w:header="0"/>
        </w:sectPr>
      </w:pPr>
    </w:p>
    <w:bookmarkStart w:id="370" w:name="page371"/>
    <w:bookmarkEnd w:id="370"/>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29.6</w:t>
      </w:r>
      <w:r>
        <w:rPr>
          <w:sz w:val="20"/>
          <w:szCs w:val="20"/>
          <w:color w:val="auto"/>
        </w:rPr>
        <w:tab/>
      </w:r>
      <w:r>
        <w:rPr>
          <w:rFonts w:ascii="Arial" w:cs="Arial" w:eastAsia="Arial" w:hAnsi="Arial"/>
          <w:sz w:val="16"/>
          <w:szCs w:val="16"/>
          <w:color w:val="auto"/>
        </w:rPr>
        <w:t>If the Material Breach is Not Resolved: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29.6.1</w:t>
      </w:r>
      <w:r>
        <w:rPr>
          <w:sz w:val="20"/>
          <w:szCs w:val="20"/>
          <w:color w:val="auto"/>
        </w:rPr>
        <w:tab/>
      </w:r>
      <w:r>
        <w:rPr>
          <w:rFonts w:ascii="Arial" w:cs="Arial" w:eastAsia="Arial" w:hAnsi="Arial"/>
          <w:sz w:val="16"/>
          <w:szCs w:val="16"/>
          <w:color w:val="auto"/>
        </w:rPr>
        <w:t>the Innocent Party may exercise its rights to terminate or suspend this Agreement under Clause 28.2 or Clause 28.3 (as applicable); and</w:t>
      </w:r>
    </w:p>
    <w:p>
      <w:pPr>
        <w:spacing w:after="0" w:line="131" w:lineRule="exact"/>
        <w:rPr>
          <w:sz w:val="20"/>
          <w:szCs w:val="20"/>
          <w:color w:val="auto"/>
        </w:rPr>
      </w:pPr>
    </w:p>
    <w:p>
      <w:pPr>
        <w:ind w:left="1184" w:hanging="647"/>
        <w:spacing w:after="0" w:line="257" w:lineRule="auto"/>
        <w:tabs>
          <w:tab w:leader="none" w:pos="1164" w:val="left"/>
        </w:tabs>
        <w:rPr>
          <w:sz w:val="20"/>
          <w:szCs w:val="20"/>
          <w:color w:val="auto"/>
        </w:rPr>
      </w:pPr>
      <w:r>
        <w:rPr>
          <w:rFonts w:ascii="Arial" w:cs="Arial" w:eastAsia="Arial" w:hAnsi="Arial"/>
          <w:sz w:val="18"/>
          <w:szCs w:val="18"/>
          <w:color w:val="auto"/>
        </w:rPr>
        <w:t>29.6.2</w:t>
        <w:tab/>
        <w:t>either Party may, by notice in writing to the other Party, refer the Material Breach to arbitration in accordance with Clause 40.4 (and the other provisions of Clause 40), as if the Escalation Notice was a Dispute Notice and as if the Senior Representatives did not amicably resolve the Dispute within the relevant time. This Agreement may not be suspended or terminated by either Party during the pendency of an arbitration (or any cure period stipulated by the arbitration tribunal) where the Material Breach that has given rise to the suspension or termination right is the subject matter of the arbitration.</w:t>
      </w:r>
    </w:p>
    <w:p>
      <w:pPr>
        <w:spacing w:after="0" w:line="332" w:lineRule="exact"/>
        <w:rPr>
          <w:sz w:val="20"/>
          <w:szCs w:val="20"/>
          <w:color w:val="auto"/>
        </w:rPr>
      </w:pPr>
    </w:p>
    <w:p>
      <w:pPr>
        <w:ind w:left="544" w:hanging="544"/>
        <w:spacing w:after="0"/>
        <w:tabs>
          <w:tab w:leader="none" w:pos="54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EFFECTS OF SUSPENSION OR TERMINATION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Suspension of license for future licenses.</w:t>
      </w:r>
    </w:p>
    <w:p>
      <w:pPr>
        <w:spacing w:after="0" w:line="131" w:lineRule="exact"/>
        <w:rPr>
          <w:sz w:val="20"/>
          <w:szCs w:val="20"/>
          <w:color w:val="auto"/>
        </w:rPr>
      </w:pPr>
    </w:p>
    <w:p>
      <w:pPr>
        <w:jc w:val="both"/>
        <w:ind w:left="1184" w:right="440" w:hanging="647"/>
        <w:spacing w:after="0" w:line="263" w:lineRule="auto"/>
        <w:tabs>
          <w:tab w:leader="none" w:pos="1164" w:val="left"/>
        </w:tabs>
        <w:rPr>
          <w:sz w:val="20"/>
          <w:szCs w:val="20"/>
          <w:color w:val="auto"/>
        </w:rPr>
      </w:pPr>
      <w:r>
        <w:rPr>
          <w:rFonts w:ascii="Arial" w:cs="Arial" w:eastAsia="Arial" w:hAnsi="Arial"/>
          <w:sz w:val="18"/>
          <w:szCs w:val="18"/>
          <w:color w:val="auto"/>
        </w:rPr>
        <w:t>30.1.1</w:t>
        <w:tab/>
        <w:t>If an Innocent Party has a right to suspend their license to the Breaching Party under Clause 28.2 or Clause 28.3 (and the Material Breach escalation process has been concluded pursuant to Clause 29), the Innocent Party may provide the Breaching Party with a written “</w:t>
      </w:r>
      <w:r>
        <w:rPr>
          <w:rFonts w:ascii="Arial" w:cs="Arial" w:eastAsia="Arial" w:hAnsi="Arial"/>
          <w:sz w:val="18"/>
          <w:szCs w:val="18"/>
          <w:b w:val="1"/>
          <w:bCs w:val="1"/>
          <w:color w:val="auto"/>
        </w:rPr>
        <w:t>Suspension Notice</w:t>
      </w:r>
      <w:r>
        <w:rPr>
          <w:rFonts w:ascii="Arial" w:cs="Arial" w:eastAsia="Arial" w:hAnsi="Arial"/>
          <w:sz w:val="18"/>
          <w:szCs w:val="18"/>
          <w:color w:val="auto"/>
        </w:rPr>
        <w:t>”.</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30.1.2</w:t>
      </w:r>
      <w:r>
        <w:rPr>
          <w:sz w:val="20"/>
          <w:szCs w:val="20"/>
          <w:color w:val="auto"/>
        </w:rPr>
        <w:tab/>
      </w:r>
      <w:r>
        <w:rPr>
          <w:rFonts w:ascii="Arial" w:cs="Arial" w:eastAsia="Arial" w:hAnsi="Arial"/>
          <w:sz w:val="16"/>
          <w:szCs w:val="16"/>
          <w:color w:val="auto"/>
        </w:rPr>
        <w:t>A Suspension Notice must set out:</w:t>
      </w:r>
    </w:p>
    <w:p>
      <w:pPr>
        <w:spacing w:after="0" w:line="131" w:lineRule="exact"/>
        <w:rPr>
          <w:sz w:val="20"/>
          <w:szCs w:val="20"/>
          <w:color w:val="auto"/>
        </w:rPr>
      </w:pPr>
    </w:p>
    <w:p>
      <w:pPr>
        <w:ind w:left="1744" w:hanging="543"/>
        <w:spacing w:after="0"/>
        <w:tabs>
          <w:tab w:leader="none" w:pos="174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details of the Material Breach giving rise to the right to suspend under Clause 28.2 or Clause 28.3 (as applicable);</w:t>
      </w:r>
    </w:p>
    <w:p>
      <w:pPr>
        <w:spacing w:after="0" w:line="130" w:lineRule="exact"/>
        <w:rPr>
          <w:rFonts w:ascii="Arial" w:cs="Arial" w:eastAsia="Arial" w:hAnsi="Arial"/>
          <w:sz w:val="18"/>
          <w:szCs w:val="18"/>
          <w:color w:val="auto"/>
        </w:rPr>
      </w:pPr>
    </w:p>
    <w:p>
      <w:pPr>
        <w:ind w:left="1744" w:right="20" w:hanging="543"/>
        <w:spacing w:after="0" w:line="277" w:lineRule="auto"/>
        <w:tabs>
          <w:tab w:leader="none" w:pos="174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date that the suspension shall take effect (not to be sooner than [***] Business Days after the date of the Suspension Notice) (the “</w:t>
      </w:r>
      <w:r>
        <w:rPr>
          <w:rFonts w:ascii="Arial" w:cs="Arial" w:eastAsia="Arial" w:hAnsi="Arial"/>
          <w:sz w:val="18"/>
          <w:szCs w:val="18"/>
          <w:b w:val="1"/>
          <w:bCs w:val="1"/>
          <w:color w:val="auto"/>
        </w:rPr>
        <w:t>Suspension Date</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744" w:right="160" w:hanging="543"/>
        <w:spacing w:after="0" w:line="277" w:lineRule="auto"/>
        <w:tabs>
          <w:tab w:leader="none" w:pos="174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duration of the suspension (which must not exceed [***] days less any prior period of suspension of the Breaching Party’s license) (the “</w:t>
      </w:r>
      <w:r>
        <w:rPr>
          <w:rFonts w:ascii="Arial" w:cs="Arial" w:eastAsia="Arial" w:hAnsi="Arial"/>
          <w:sz w:val="18"/>
          <w:szCs w:val="18"/>
          <w:b w:val="1"/>
          <w:bCs w:val="1"/>
          <w:color w:val="auto"/>
        </w:rPr>
        <w:t>Suspension Duration</w:t>
      </w:r>
      <w:r>
        <w:rPr>
          <w:rFonts w:ascii="Arial" w:cs="Arial" w:eastAsia="Arial" w:hAnsi="Arial"/>
          <w:sz w:val="18"/>
          <w:szCs w:val="18"/>
          <w:color w:val="auto"/>
        </w:rPr>
        <w:t>”).</w:t>
      </w:r>
    </w:p>
    <w:p>
      <w:pPr>
        <w:spacing w:after="0" w:line="76" w:lineRule="exact"/>
        <w:rPr>
          <w:sz w:val="20"/>
          <w:szCs w:val="20"/>
          <w:color w:val="auto"/>
        </w:rPr>
      </w:pPr>
    </w:p>
    <w:p>
      <w:pPr>
        <w:jc w:val="both"/>
        <w:ind w:left="1184" w:right="40" w:hanging="647"/>
        <w:spacing w:after="0" w:line="263" w:lineRule="auto"/>
        <w:tabs>
          <w:tab w:leader="none" w:pos="1164" w:val="left"/>
        </w:tabs>
        <w:rPr>
          <w:sz w:val="20"/>
          <w:szCs w:val="20"/>
          <w:color w:val="auto"/>
        </w:rPr>
      </w:pPr>
      <w:r>
        <w:rPr>
          <w:rFonts w:ascii="Arial" w:cs="Arial" w:eastAsia="Arial" w:hAnsi="Arial"/>
          <w:sz w:val="18"/>
          <w:szCs w:val="18"/>
          <w:color w:val="auto"/>
        </w:rPr>
        <w:t>30.1.3</w:t>
        <w:tab/>
        <w:t>Subject to Clause 30.1.4, on and from the Suspension Date until the expiration of the Suspension Duration, the Breaching Party’s right to use and license the Innocent Party’s IP licensed under this Agreement is suspended solely to the extent that the Breaching Party shall be prevented from doing any of the following:</w:t>
      </w:r>
    </w:p>
    <w:p>
      <w:pPr>
        <w:spacing w:after="0" w:line="89" w:lineRule="exact"/>
        <w:rPr>
          <w:sz w:val="20"/>
          <w:szCs w:val="20"/>
          <w:color w:val="auto"/>
        </w:rPr>
      </w:pPr>
    </w:p>
    <w:p>
      <w:pPr>
        <w:ind w:left="1744" w:right="300" w:hanging="543"/>
        <w:spacing w:after="0" w:line="277" w:lineRule="auto"/>
        <w:tabs>
          <w:tab w:leader="none" w:pos="174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granting new sub-licenses of the Innocent Party’s IP licensed under this Agreement (including entering into any renewals or extensions of any existing sub-licenses); or</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4"/>
          </w:cols>
          <w:pgMar w:left="436" w:top="274" w:right="499" w:bottom="1440" w:gutter="0" w:footer="0" w:header="0"/>
        </w:sectPr>
      </w:pPr>
    </w:p>
    <w:bookmarkStart w:id="371" w:name="page372"/>
    <w:bookmarkEnd w:id="371"/>
    <w:p>
      <w:pPr>
        <w:ind w:left="1740" w:right="40" w:hanging="543"/>
        <w:spacing w:after="0" w:line="259" w:lineRule="auto"/>
        <w:tabs>
          <w:tab w:leader="none" w:pos="17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undertaking any research, design, modification, development or manufacturing activities with respect to the Innocent Party’s IP licensed under this Agreement, but the Breaching Party’s license under this Agreement, including its existing obligations under existing licenses with its licensees, and the other terms of this Agreement (including provisions relating to exclusivity and indemnities), are otherwise unaffected.</w:t>
      </w:r>
    </w:p>
    <w:p>
      <w:pPr>
        <w:spacing w:after="0" w:line="92"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18"/>
          <w:szCs w:val="18"/>
          <w:color w:val="auto"/>
        </w:rPr>
        <w:t>30.1.4</w:t>
      </w:r>
      <w:r>
        <w:rPr>
          <w:sz w:val="20"/>
          <w:szCs w:val="20"/>
          <w:color w:val="auto"/>
        </w:rPr>
        <w:tab/>
      </w:r>
      <w:r>
        <w:rPr>
          <w:rFonts w:ascii="Arial" w:cs="Arial" w:eastAsia="Arial" w:hAnsi="Arial"/>
          <w:sz w:val="16"/>
          <w:szCs w:val="16"/>
          <w:color w:val="auto"/>
        </w:rPr>
        <w:t>The suspension in Clause 30.1.3 shall either not come into effect or shall immediately cease (as applicable) upon the earliest of:</w:t>
      </w:r>
    </w:p>
    <w:p>
      <w:pPr>
        <w:spacing w:after="0" w:line="131" w:lineRule="exact"/>
        <w:rPr>
          <w:sz w:val="20"/>
          <w:szCs w:val="20"/>
          <w:color w:val="auto"/>
        </w:rPr>
      </w:pPr>
    </w:p>
    <w:p>
      <w:pPr>
        <w:ind w:left="1740" w:hanging="543"/>
        <w:spacing w:after="0" w:line="277" w:lineRule="auto"/>
        <w:tabs>
          <w:tab w:leader="none" w:pos="17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Breaching Party rectifying the Material Breach set out in the Suspension Notice and providing written notice to that effect to the Innocent Party;</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expiration of the Suspension Duration;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termination of this Agreement.</w:t>
      </w:r>
    </w:p>
    <w:p>
      <w:pPr>
        <w:spacing w:after="0" w:line="131" w:lineRule="exact"/>
        <w:rPr>
          <w:sz w:val="20"/>
          <w:szCs w:val="20"/>
          <w:color w:val="auto"/>
        </w:rPr>
      </w:pPr>
    </w:p>
    <w:p>
      <w:pPr>
        <w:ind w:left="1180" w:right="160" w:hanging="647"/>
        <w:spacing w:after="0" w:line="259" w:lineRule="auto"/>
        <w:tabs>
          <w:tab w:leader="none" w:pos="1160" w:val="left"/>
        </w:tabs>
        <w:rPr>
          <w:sz w:val="20"/>
          <w:szCs w:val="20"/>
          <w:color w:val="auto"/>
        </w:rPr>
      </w:pPr>
      <w:r>
        <w:rPr>
          <w:rFonts w:ascii="Arial" w:cs="Arial" w:eastAsia="Arial" w:hAnsi="Arial"/>
          <w:sz w:val="18"/>
          <w:szCs w:val="18"/>
          <w:color w:val="auto"/>
        </w:rPr>
        <w:t>30.1.5</w:t>
        <w:tab/>
        <w:t>The Innocent Party may terminate this Agreement on or after expiration of the Suspension Duration provided that (i) the Breaching Party has not rectified the Material Breach set out in the Suspension Notice and provided written notice to that effect to the Innocent Party; and (ii) the Innocent Party has provided no less than [***] Business Days’ written notice to the Breaching Party (such notice to take effect no sooner than the date of expiration of the Suspension Duration).</w:t>
      </w:r>
    </w:p>
    <w:p>
      <w:pPr>
        <w:spacing w:after="0" w:line="92" w:lineRule="exact"/>
        <w:rPr>
          <w:sz w:val="20"/>
          <w:szCs w:val="20"/>
          <w:color w:val="auto"/>
        </w:rPr>
      </w:pPr>
    </w:p>
    <w:p>
      <w:pPr>
        <w:ind w:left="1180" w:hanging="647"/>
        <w:spacing w:after="0" w:line="277" w:lineRule="auto"/>
        <w:tabs>
          <w:tab w:leader="none" w:pos="1160" w:val="left"/>
        </w:tabs>
        <w:rPr>
          <w:sz w:val="20"/>
          <w:szCs w:val="20"/>
          <w:color w:val="auto"/>
        </w:rPr>
      </w:pPr>
      <w:r>
        <w:rPr>
          <w:rFonts w:ascii="Arial" w:cs="Arial" w:eastAsia="Arial" w:hAnsi="Arial"/>
          <w:sz w:val="18"/>
          <w:szCs w:val="18"/>
          <w:color w:val="auto"/>
        </w:rPr>
        <w:t>30.1.6</w:t>
        <w:tab/>
        <w:t>Any suspension under Clause 30.1.3 shall not affect the Material Breach escalation process in Clause 29, the Dispute resolution process in Clause 40 or any right to terminate this Agreement under Clause 28.</w:t>
      </w:r>
    </w:p>
    <w:p>
      <w:pPr>
        <w:spacing w:after="0" w:line="76" w:lineRule="exact"/>
        <w:rPr>
          <w:sz w:val="20"/>
          <w:szCs w:val="20"/>
          <w:color w:val="auto"/>
        </w:rPr>
      </w:pPr>
    </w:p>
    <w:p>
      <w:pPr>
        <w:ind w:left="540" w:right="300" w:hanging="539"/>
        <w:spacing w:after="0" w:line="308" w:lineRule="auto"/>
        <w:tabs>
          <w:tab w:leader="none" w:pos="5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i w:val="1"/>
          <w:iCs w:val="1"/>
          <w:u w:val="single" w:color="auto"/>
          <w:color w:val="auto"/>
        </w:rPr>
        <w:t xml:space="preserve">Existing licenses on termination. </w:t>
      </w:r>
      <w:r>
        <w:rPr>
          <w:rFonts w:ascii="Arial" w:cs="Arial" w:eastAsia="Arial" w:hAnsi="Arial"/>
          <w:sz w:val="17"/>
          <w:szCs w:val="17"/>
          <w:color w:val="auto"/>
        </w:rPr>
        <w:t>Subject to Clause 30.3, following any termination of this Agreement the provisions of this Agreement shall</w:t>
      </w:r>
      <w:r>
        <w:rPr>
          <w:rFonts w:ascii="Arial" w:cs="Arial" w:eastAsia="Arial" w:hAnsi="Arial"/>
          <w:sz w:val="17"/>
          <w:szCs w:val="17"/>
          <w:i w:val="1"/>
          <w:iCs w:val="1"/>
          <w:u w:val="single" w:color="auto"/>
          <w:color w:val="auto"/>
        </w:rPr>
        <w:t xml:space="preserve"> </w:t>
      </w:r>
      <w:r>
        <w:rPr>
          <w:rFonts w:ascii="Arial" w:cs="Arial" w:eastAsia="Arial" w:hAnsi="Arial"/>
          <w:sz w:val="17"/>
          <w:szCs w:val="17"/>
          <w:color w:val="auto"/>
        </w:rPr>
        <w:t>survive to the extent that they relate to contractual obligations existing as of the date of the termination of this Agreement under:</w:t>
      </w:r>
    </w:p>
    <w:p>
      <w:pPr>
        <w:spacing w:after="0" w:line="52"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30.2.1</w:t>
      </w:r>
      <w:r>
        <w:rPr>
          <w:sz w:val="20"/>
          <w:szCs w:val="20"/>
          <w:color w:val="auto"/>
        </w:rPr>
        <w:tab/>
      </w:r>
      <w:r>
        <w:rPr>
          <w:rFonts w:ascii="Arial" w:cs="Arial" w:eastAsia="Arial" w:hAnsi="Arial"/>
          <w:sz w:val="16"/>
          <w:szCs w:val="16"/>
          <w:color w:val="auto"/>
        </w:rPr>
        <w:t>ARM’s existing licenses with Non-PRC Licensees;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30.2.2</w:t>
      </w:r>
      <w:r>
        <w:rPr>
          <w:sz w:val="20"/>
          <w:szCs w:val="20"/>
          <w:color w:val="auto"/>
        </w:rPr>
        <w:tab/>
      </w:r>
      <w:r>
        <w:rPr>
          <w:rFonts w:ascii="Arial" w:cs="Arial" w:eastAsia="Arial" w:hAnsi="Arial"/>
          <w:sz w:val="16"/>
          <w:szCs w:val="16"/>
          <w:color w:val="auto"/>
        </w:rPr>
        <w:t>JVCo’s existing licenses with PRC Licensees,</w:t>
      </w:r>
    </w:p>
    <w:p>
      <w:pPr>
        <w:spacing w:after="0" w:line="11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and, in particular, these existing licenses shall continue to be royalty-bearing in accordance with this Agreement and the indemnities in Clauses 16 and 18 shall continue to apply solely in relation to these existing licenses, but the limited ongoing licenses between ARM and JVCo shall not be exclusive in any respect, provided that in no circumstances does a license survive in respect of any technology removed from the scope of a Party’s license pursuant to Clause 8.7.</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i w:val="1"/>
          <w:iCs w:val="1"/>
          <w:u w:val="single" w:color="auto"/>
          <w:color w:val="auto"/>
        </w:rPr>
        <w:t xml:space="preserve">The ARM brand on termination. </w:t>
      </w:r>
      <w:r>
        <w:rPr>
          <w:rFonts w:ascii="Arial" w:cs="Arial" w:eastAsia="Arial" w:hAnsi="Arial"/>
          <w:sz w:val="16"/>
          <w:szCs w:val="16"/>
          <w:color w:val="auto"/>
        </w:rPr>
        <w:t>On and from the date this Agreement terminates, JVCo must, as soon as possible: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30.3.1</w:t>
      </w:r>
      <w:r>
        <w:rPr>
          <w:sz w:val="20"/>
          <w:szCs w:val="20"/>
          <w:color w:val="auto"/>
        </w:rPr>
        <w:tab/>
      </w:r>
      <w:r>
        <w:rPr>
          <w:rFonts w:ascii="Arial" w:cs="Arial" w:eastAsia="Arial" w:hAnsi="Arial"/>
          <w:sz w:val="16"/>
          <w:szCs w:val="16"/>
          <w:color w:val="auto"/>
        </w:rPr>
        <w:t>change its Company Name so as to remove any “ARM” word mark;</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30.3.2</w:t>
      </w:r>
      <w:r>
        <w:rPr>
          <w:sz w:val="20"/>
          <w:szCs w:val="20"/>
          <w:color w:val="auto"/>
        </w:rPr>
        <w:tab/>
      </w:r>
      <w:r>
        <w:rPr>
          <w:rFonts w:ascii="Arial" w:cs="Arial" w:eastAsia="Arial" w:hAnsi="Arial"/>
          <w:sz w:val="16"/>
          <w:szCs w:val="16"/>
          <w:color w:val="auto"/>
        </w:rPr>
        <w:t>cease all use of the “ARM” word mark or the ARM Brand Trade Marks;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0"/>
          </w:cols>
          <w:pgMar w:left="440" w:top="274" w:right="499" w:bottom="1440" w:gutter="0" w:footer="0" w:header="0"/>
        </w:sectPr>
      </w:pPr>
    </w:p>
    <w:bookmarkStart w:id="372" w:name="page373"/>
    <w:bookmarkEnd w:id="372"/>
    <w:p>
      <w:pPr>
        <w:ind w:left="1180" w:hanging="647"/>
        <w:spacing w:after="0" w:line="259"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30.3.3</w:t>
        <w:tab/>
        <w:t>without prejudice to Clauses 9.8 and 9.11, to the extent JVCo has obtained any rights in connection with its use of the “ARM” word mark or the ARM Brand Trade Marks, including any Trade Marks, company or business name registrations or domain names it has that contain the word “ARM” or that are similar to any of the ARM Brand Trade Marks, JVCo must either abandon, or assign those rights to ARM, as reasonably requested by ARM in its absolute discretion.</w:t>
      </w:r>
    </w:p>
    <w:p>
      <w:pPr>
        <w:spacing w:after="0" w:line="92" w:lineRule="exact"/>
        <w:rPr>
          <w:sz w:val="20"/>
          <w:szCs w:val="20"/>
          <w:color w:val="auto"/>
        </w:rPr>
      </w:pPr>
    </w:p>
    <w:p>
      <w:pPr>
        <w:ind w:left="540" w:right="160" w:hanging="539"/>
        <w:spacing w:after="0" w:line="311" w:lineRule="auto"/>
        <w:tabs>
          <w:tab w:leader="none" w:pos="5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i w:val="1"/>
          <w:iCs w:val="1"/>
          <w:u w:val="single" w:color="auto"/>
          <w:color w:val="auto"/>
        </w:rPr>
        <w:t xml:space="preserve">Survival. </w:t>
      </w:r>
      <w:r>
        <w:rPr>
          <w:rFonts w:ascii="Arial" w:cs="Arial" w:eastAsia="Arial" w:hAnsi="Arial"/>
          <w:sz w:val="16"/>
          <w:szCs w:val="16"/>
          <w:color w:val="auto"/>
        </w:rPr>
        <w:t>Clauses 1 (</w:t>
      </w:r>
      <w:r>
        <w:rPr>
          <w:rFonts w:ascii="Arial" w:cs="Arial" w:eastAsia="Arial" w:hAnsi="Arial"/>
          <w:sz w:val="16"/>
          <w:szCs w:val="16"/>
          <w:i w:val="1"/>
          <w:iCs w:val="1"/>
          <w:color w:val="auto"/>
        </w:rPr>
        <w:t>Interpretation</w:t>
      </w:r>
      <w:r>
        <w:rPr>
          <w:rFonts w:ascii="Arial" w:cs="Arial" w:eastAsia="Arial" w:hAnsi="Arial"/>
          <w:sz w:val="16"/>
          <w:szCs w:val="16"/>
          <w:color w:val="auto"/>
        </w:rPr>
        <w:t>), 11.1 (</w:t>
      </w:r>
      <w:r>
        <w:rPr>
          <w:rFonts w:ascii="Arial" w:cs="Arial" w:eastAsia="Arial" w:hAnsi="Arial"/>
          <w:sz w:val="16"/>
          <w:szCs w:val="16"/>
          <w:i w:val="1"/>
          <w:iCs w:val="1"/>
          <w:color w:val="auto"/>
        </w:rPr>
        <w:t>Enforcement of non-assert</w:t>
      </w:r>
      <w:r>
        <w:rPr>
          <w:rFonts w:ascii="Arial" w:cs="Arial" w:eastAsia="Arial" w:hAnsi="Arial"/>
          <w:sz w:val="16"/>
          <w:szCs w:val="16"/>
          <w:color w:val="auto"/>
        </w:rPr>
        <w:t>), 20 (</w:t>
      </w:r>
      <w:r>
        <w:rPr>
          <w:rFonts w:ascii="Arial" w:cs="Arial" w:eastAsia="Arial" w:hAnsi="Arial"/>
          <w:sz w:val="16"/>
          <w:szCs w:val="16"/>
          <w:i w:val="1"/>
          <w:iCs w:val="1"/>
          <w:color w:val="auto"/>
        </w:rPr>
        <w:t>Limitation of liability</w:t>
      </w:r>
      <w:r>
        <w:rPr>
          <w:rFonts w:ascii="Arial" w:cs="Arial" w:eastAsia="Arial" w:hAnsi="Arial"/>
          <w:sz w:val="16"/>
          <w:szCs w:val="16"/>
          <w:color w:val="auto"/>
        </w:rPr>
        <w:t>), 30 (</w:t>
      </w:r>
      <w:r>
        <w:rPr>
          <w:rFonts w:ascii="Arial" w:cs="Arial" w:eastAsia="Arial" w:hAnsi="Arial"/>
          <w:sz w:val="16"/>
          <w:szCs w:val="16"/>
          <w:i w:val="1"/>
          <w:iCs w:val="1"/>
          <w:color w:val="auto"/>
        </w:rPr>
        <w:t>Effects of suspension or termination</w:t>
      </w:r>
      <w:r>
        <w:rPr>
          <w:rFonts w:ascii="Arial" w:cs="Arial" w:eastAsia="Arial" w:hAnsi="Arial"/>
          <w:sz w:val="16"/>
          <w:szCs w:val="16"/>
          <w:color w:val="auto"/>
        </w:rPr>
        <w:t>), 35</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Confidentiality</w:t>
      </w:r>
      <w:r>
        <w:rPr>
          <w:rFonts w:ascii="Arial" w:cs="Arial" w:eastAsia="Arial" w:hAnsi="Arial"/>
          <w:sz w:val="16"/>
          <w:szCs w:val="16"/>
          <w:color w:val="auto"/>
        </w:rPr>
        <w:t>), 40 (</w:t>
      </w:r>
      <w:r>
        <w:rPr>
          <w:rFonts w:ascii="Arial" w:cs="Arial" w:eastAsia="Arial" w:hAnsi="Arial"/>
          <w:sz w:val="16"/>
          <w:szCs w:val="16"/>
          <w:i w:val="1"/>
          <w:iCs w:val="1"/>
          <w:color w:val="auto"/>
        </w:rPr>
        <w:t>Dispute resolution</w:t>
      </w:r>
      <w:r>
        <w:rPr>
          <w:rFonts w:ascii="Arial" w:cs="Arial" w:eastAsia="Arial" w:hAnsi="Arial"/>
          <w:sz w:val="16"/>
          <w:szCs w:val="16"/>
          <w:color w:val="auto"/>
        </w:rPr>
        <w:t>), 43 (</w:t>
      </w:r>
      <w:r>
        <w:rPr>
          <w:rFonts w:ascii="Arial" w:cs="Arial" w:eastAsia="Arial" w:hAnsi="Arial"/>
          <w:sz w:val="16"/>
          <w:szCs w:val="16"/>
          <w:i w:val="1"/>
          <w:iCs w:val="1"/>
          <w:color w:val="auto"/>
        </w:rPr>
        <w:t>Remedies and waivers</w:t>
      </w:r>
      <w:r>
        <w:rPr>
          <w:rFonts w:ascii="Arial" w:cs="Arial" w:eastAsia="Arial" w:hAnsi="Arial"/>
          <w:sz w:val="16"/>
          <w:szCs w:val="16"/>
          <w:color w:val="auto"/>
        </w:rPr>
        <w:t>), 44 (</w:t>
      </w:r>
      <w:r>
        <w:rPr>
          <w:rFonts w:ascii="Arial" w:cs="Arial" w:eastAsia="Arial" w:hAnsi="Arial"/>
          <w:sz w:val="16"/>
          <w:szCs w:val="16"/>
          <w:i w:val="1"/>
          <w:iCs w:val="1"/>
          <w:color w:val="auto"/>
        </w:rPr>
        <w:t>Notices</w:t>
      </w:r>
      <w:r>
        <w:rPr>
          <w:rFonts w:ascii="Arial" w:cs="Arial" w:eastAsia="Arial" w:hAnsi="Arial"/>
          <w:sz w:val="16"/>
          <w:szCs w:val="16"/>
          <w:color w:val="auto"/>
        </w:rPr>
        <w:t>) and 52 (</w:t>
      </w:r>
      <w:r>
        <w:rPr>
          <w:rFonts w:ascii="Arial" w:cs="Arial" w:eastAsia="Arial" w:hAnsi="Arial"/>
          <w:sz w:val="16"/>
          <w:szCs w:val="16"/>
          <w:i w:val="1"/>
          <w:iCs w:val="1"/>
          <w:color w:val="auto"/>
        </w:rPr>
        <w:t>Governing law and jurisdiction</w:t>
      </w:r>
      <w:r>
        <w:rPr>
          <w:rFonts w:ascii="Arial" w:cs="Arial" w:eastAsia="Arial" w:hAnsi="Arial"/>
          <w:sz w:val="16"/>
          <w:szCs w:val="16"/>
          <w:color w:val="auto"/>
        </w:rPr>
        <w:t>) shall survive the termination of this Agreement without limitation in time (irrespective of the event giving rise to the termination).</w:t>
      </w:r>
    </w:p>
    <w:p>
      <w:pPr>
        <w:spacing w:after="0" w:line="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i w:val="1"/>
          <w:iCs w:val="1"/>
          <w:u w:val="single" w:color="auto"/>
          <w:color w:val="auto"/>
        </w:rPr>
        <w:t xml:space="preserve">Non-assert from JVCo. </w:t>
      </w:r>
      <w:r>
        <w:rPr>
          <w:rFonts w:ascii="Arial" w:cs="Arial" w:eastAsia="Arial" w:hAnsi="Arial"/>
          <w:sz w:val="16"/>
          <w:szCs w:val="16"/>
          <w:color w:val="auto"/>
        </w:rPr>
        <w:t>On and from the date this Agreement terminates, JVCo agrees that: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30.5.1</w:t>
      </w:r>
      <w:r>
        <w:rPr>
          <w:sz w:val="20"/>
          <w:szCs w:val="20"/>
          <w:color w:val="auto"/>
        </w:rPr>
        <w:tab/>
      </w:r>
      <w:r>
        <w:rPr>
          <w:rFonts w:ascii="Arial" w:cs="Arial" w:eastAsia="Arial" w:hAnsi="Arial"/>
          <w:sz w:val="16"/>
          <w:szCs w:val="16"/>
          <w:color w:val="auto"/>
        </w:rPr>
        <w:t>it will not Assert against ARM any Essential Claims with respect to any product developed by any member of the ARM Group;</w:t>
      </w:r>
    </w:p>
    <w:p>
      <w:pPr>
        <w:spacing w:after="0" w:line="131" w:lineRule="exact"/>
        <w:rPr>
          <w:sz w:val="20"/>
          <w:szCs w:val="20"/>
          <w:color w:val="auto"/>
        </w:rPr>
      </w:pPr>
    </w:p>
    <w:p>
      <w:pPr>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30.5.2</w:t>
        <w:tab/>
        <w:t>it will not Assert against any Downstream Affiliate of any member of the ARM Group any Essential Claims with respect to any product developed or derived from technology for which the Downstream Affiliate has obtained a valid license from any member of the ARM Group or another Downstream Affiliate of any member of the ARM Group; and</w:t>
      </w:r>
    </w:p>
    <w:p>
      <w:pPr>
        <w:spacing w:after="0" w:line="89"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30.5.3</w:t>
      </w:r>
      <w:r>
        <w:rPr>
          <w:sz w:val="20"/>
          <w:szCs w:val="20"/>
          <w:color w:val="auto"/>
        </w:rPr>
        <w:tab/>
      </w:r>
      <w:r>
        <w:rPr>
          <w:rFonts w:ascii="Arial" w:cs="Arial" w:eastAsia="Arial" w:hAnsi="Arial"/>
          <w:sz w:val="16"/>
          <w:szCs w:val="16"/>
          <w:color w:val="auto"/>
        </w:rPr>
        <w:t>if it assigns to a third party any Essential Claim that prior to assignment would be subject to the obligation not to assert in Clauses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30.5.1 and 30.5.2, then: (i) notwithstanding such assignment, such assigned Essential Claim shall remain subject to the obligation not to</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Assert; and (ii) JVCo shall notify the third party assignee that the assigned Essential Claim shall be encumbered by an obligation of the</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patent owner not to Assert such Essential Claim against any product developed by ARM or any product developed or derived from</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technology for which the ARM Licensee has obtained a valid license from ARM.</w:t>
      </w:r>
    </w:p>
    <w:p>
      <w:pPr>
        <w:spacing w:after="0" w:line="116" w:lineRule="exact"/>
        <w:rPr>
          <w:sz w:val="20"/>
          <w:szCs w:val="20"/>
          <w:color w:val="auto"/>
        </w:rPr>
      </w:pPr>
    </w:p>
    <w:p>
      <w:pPr>
        <w:ind w:left="540" w:right="40" w:hanging="539"/>
        <w:spacing w:after="0" w:line="254" w:lineRule="auto"/>
        <w:tabs>
          <w:tab w:leader="none" w:pos="5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8"/>
          <w:szCs w:val="18"/>
          <w:i w:val="1"/>
          <w:iCs w:val="1"/>
          <w:u w:val="single" w:color="auto"/>
          <w:color w:val="auto"/>
        </w:rPr>
        <w:t xml:space="preserve">Defensive suspension of non-assert. </w:t>
      </w:r>
      <w:r>
        <w:rPr>
          <w:rFonts w:ascii="Arial" w:cs="Arial" w:eastAsia="Arial" w:hAnsi="Arial"/>
          <w:sz w:val="18"/>
          <w:szCs w:val="18"/>
          <w:color w:val="auto"/>
        </w:rPr>
        <w:t>Upon Assertion of Patent infringement against JVCo or any Downstream Affiliate of JVCo by ARM or any</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Downstream Affiliate of any member of the ARM Group, as the case may be (the “</w:t>
      </w:r>
      <w:r>
        <w:rPr>
          <w:rFonts w:ascii="Arial" w:cs="Arial" w:eastAsia="Arial" w:hAnsi="Arial"/>
          <w:sz w:val="18"/>
          <w:szCs w:val="18"/>
          <w:b w:val="1"/>
          <w:bCs w:val="1"/>
          <w:color w:val="auto"/>
        </w:rPr>
        <w:t>Asserting Party</w:t>
      </w:r>
      <w:r>
        <w:rPr>
          <w:rFonts w:ascii="Arial" w:cs="Arial" w:eastAsia="Arial" w:hAnsi="Arial"/>
          <w:sz w:val="18"/>
          <w:szCs w:val="18"/>
          <w:color w:val="auto"/>
        </w:rPr>
        <w:t>”) in respect of an integrated circuit incorporating an Architecture Compliant Core manufactured by or on behalf of JVCo or any Downstream Affiliate of JVCo pursuant to rights granted by ARM under this Agreement, JVCo shall provide notice to ARM of its intention to suspend the benefits of Clause 30.5 with respect to that Asserting Party. If, within [***] days after such notice has been given to ARM, the Asserting Party has not withdrawn or terminated its Assertion against JVCo then JVCo shall be entitled to suspend the obligation not to Assert against the Asserting Party until such Assertion is withdrawn or terminated.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373" w:name="page374"/>
    <w:bookmarkEnd w:id="373"/>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G: OTHER PROVISIONS</w:t>
      </w:r>
    </w:p>
    <w:p>
      <w:pPr>
        <w:spacing w:after="0" w:line="131" w:lineRule="exact"/>
        <w:rPr>
          <w:sz w:val="20"/>
          <w:szCs w:val="20"/>
          <w:color w:val="auto"/>
        </w:rPr>
      </w:pPr>
    </w:p>
    <w:p>
      <w:pPr>
        <w:ind w:left="544" w:hanging="544"/>
        <w:spacing w:after="0"/>
        <w:tabs>
          <w:tab w:leader="none" w:pos="5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ADJUDICATION OF LICENSEES</w:t>
      </w:r>
    </w:p>
    <w:p>
      <w:pPr>
        <w:spacing w:after="0" w:line="135"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31.1</w:t>
        <w:tab/>
        <w:t>In the event that an entity does not fully satisfy the requirements of a PRC Licensee but JVCo considers in good faith that that entity should fall within its exclusive licensing channel (that entity and its Group (if any), “</w:t>
      </w:r>
      <w:r>
        <w:rPr>
          <w:rFonts w:ascii="Arial" w:cs="Arial" w:eastAsia="Arial" w:hAnsi="Arial"/>
          <w:sz w:val="18"/>
          <w:szCs w:val="18"/>
          <w:b w:val="1"/>
          <w:bCs w:val="1"/>
          <w:color w:val="auto"/>
        </w:rPr>
        <w:t>TBD Entity</w:t>
      </w:r>
      <w:r>
        <w:rPr>
          <w:rFonts w:ascii="Arial" w:cs="Arial" w:eastAsia="Arial" w:hAnsi="Arial"/>
          <w:sz w:val="18"/>
          <w:szCs w:val="18"/>
          <w:color w:val="auto"/>
        </w:rPr>
        <w:t>”), JVCo may notify ARM in writing that it wishes to contest the allocation of that entity (a “</w:t>
      </w:r>
      <w:r>
        <w:rPr>
          <w:rFonts w:ascii="Arial" w:cs="Arial" w:eastAsia="Arial" w:hAnsi="Arial"/>
          <w:sz w:val="18"/>
          <w:szCs w:val="18"/>
          <w:b w:val="1"/>
          <w:bCs w:val="1"/>
          <w:color w:val="auto"/>
        </w:rPr>
        <w:t>Licensee Enquiry Notice</w:t>
      </w:r>
      <w:r>
        <w:rPr>
          <w:rFonts w:ascii="Arial" w:cs="Arial" w:eastAsia="Arial" w:hAnsi="Arial"/>
          <w:sz w:val="18"/>
          <w:szCs w:val="18"/>
          <w:color w:val="auto"/>
        </w:rPr>
        <w:t>”).</w:t>
      </w:r>
    </w:p>
    <w:p>
      <w:pPr>
        <w:spacing w:after="0" w:line="89"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31.2</w:t>
        <w:tab/>
        <w:t>Upon receipt of a Licensee Enquiry Notice, ARM shall promptly consult with JVCo in order to understand the reasons for JVCo’s request that the TBD Entity is treated as a PRC Licensee. [***]</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In considering whether the TBD Entity should be classified as PRC Licensees, ARM shall consider (in good faith):</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31.3.1</w:t>
      </w:r>
      <w:r>
        <w:rPr>
          <w:sz w:val="20"/>
          <w:szCs w:val="20"/>
          <w:color w:val="auto"/>
        </w:rPr>
        <w:tab/>
      </w:r>
      <w:r>
        <w:rPr>
          <w:rFonts w:ascii="Arial" w:cs="Arial" w:eastAsia="Arial" w:hAnsi="Arial"/>
          <w:sz w:val="16"/>
          <w:szCs w:val="16"/>
          <w:color w:val="auto"/>
        </w:rPr>
        <w:t>the reasons given by JVCo as part of the consultation process detailed in Clause 31.2;</w:t>
      </w:r>
    </w:p>
    <w:p>
      <w:pPr>
        <w:spacing w:after="0" w:line="131" w:lineRule="exact"/>
        <w:rPr>
          <w:sz w:val="20"/>
          <w:szCs w:val="20"/>
          <w:color w:val="auto"/>
        </w:rPr>
      </w:pPr>
    </w:p>
    <w:p>
      <w:pPr>
        <w:ind w:left="1184" w:right="40" w:hanging="647"/>
        <w:spacing w:after="0" w:line="277" w:lineRule="auto"/>
        <w:tabs>
          <w:tab w:leader="none" w:pos="1164" w:val="left"/>
        </w:tabs>
        <w:rPr>
          <w:sz w:val="20"/>
          <w:szCs w:val="20"/>
          <w:color w:val="auto"/>
        </w:rPr>
      </w:pPr>
      <w:r>
        <w:rPr>
          <w:rFonts w:ascii="Arial" w:cs="Arial" w:eastAsia="Arial" w:hAnsi="Arial"/>
          <w:sz w:val="18"/>
          <w:szCs w:val="18"/>
          <w:color w:val="auto"/>
        </w:rPr>
        <w:t>31.3.2</w:t>
        <w:tab/>
        <w:t>the business operations of the TBD Entity, including the location of (i) its headquarters; and (ii) the majority of its employees, revenues and business activities; and</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31.3.3</w:t>
      </w:r>
      <w:r>
        <w:rPr>
          <w:sz w:val="20"/>
          <w:szCs w:val="20"/>
          <w:color w:val="auto"/>
        </w:rPr>
        <w:tab/>
      </w:r>
      <w:r>
        <w:rPr>
          <w:rFonts w:ascii="Arial" w:cs="Arial" w:eastAsia="Arial" w:hAnsi="Arial"/>
          <w:sz w:val="16"/>
          <w:szCs w:val="16"/>
          <w:color w:val="auto"/>
        </w:rPr>
        <w:t>the similarity of the TBD Entity to other PRC Licensees,</w:t>
      </w:r>
    </w:p>
    <w:p>
      <w:pPr>
        <w:spacing w:after="0" w:line="117" w:lineRule="exact"/>
        <w:rPr>
          <w:sz w:val="20"/>
          <w:szCs w:val="20"/>
          <w:color w:val="auto"/>
        </w:rPr>
      </w:pPr>
    </w:p>
    <w:p>
      <w:pPr>
        <w:jc w:val="both"/>
        <w:ind w:left="444" w:right="460"/>
        <w:spacing w:after="0" w:line="263" w:lineRule="auto"/>
        <w:rPr>
          <w:sz w:val="20"/>
          <w:szCs w:val="20"/>
          <w:color w:val="auto"/>
        </w:rPr>
      </w:pPr>
      <w:r>
        <w:rPr>
          <w:rFonts w:ascii="Arial" w:cs="Arial" w:eastAsia="Arial" w:hAnsi="Arial"/>
          <w:sz w:val="18"/>
          <w:szCs w:val="18"/>
          <w:color w:val="auto"/>
        </w:rPr>
        <w:t>provided that the Parties acknowledge and agree that the assessment of whether a TBD Entity should be treated as a PRC Licensee shall be undertaken on a Group-wide basis (save where the allocation applies to the identity of a PRC Licensee in relation to the distribution of DSG Tools).</w:t>
      </w:r>
    </w:p>
    <w:p>
      <w:pPr>
        <w:spacing w:after="0" w:line="89" w:lineRule="exact"/>
        <w:rPr>
          <w:sz w:val="20"/>
          <w:szCs w:val="20"/>
          <w:color w:val="auto"/>
        </w:rPr>
      </w:pPr>
    </w:p>
    <w:p>
      <w:pPr>
        <w:ind w:left="544" w:right="200" w:hanging="539"/>
        <w:spacing w:after="0" w:line="342" w:lineRule="auto"/>
        <w:tabs>
          <w:tab w:leader="none" w:pos="524"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As soon as reasonably practicable following receipt of the Licensee Enquiry Notice, ARM shall notify JVCo in writing as to whether the TBD Entity will be treated as PRC Licensees for the purposes of this Agreement and ARM shall act reasonably in making that assessment.</w:t>
      </w:r>
    </w:p>
    <w:p>
      <w:pPr>
        <w:spacing w:after="0" w:line="29"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Any failure by ARM to communicate its decision within [***] Business Days after its receipt of a Licensee Enquiry Notice shall be automatically escalated and submitted for review by the Senior Representatives in accordance with Clause 40.3 (save where such delay is caused by a delay by JVCo in providing additional information requested by ARM with respect to that Licensee Enquiry Notice).</w:t>
      </w:r>
    </w:p>
    <w:p>
      <w:pPr>
        <w:spacing w:after="0" w:line="71" w:lineRule="exact"/>
        <w:rPr>
          <w:sz w:val="20"/>
          <w:szCs w:val="20"/>
          <w:color w:val="auto"/>
        </w:rPr>
      </w:pPr>
    </w:p>
    <w:p>
      <w:pPr>
        <w:ind w:left="544" w:right="480" w:hanging="539"/>
        <w:spacing w:after="0" w:line="277" w:lineRule="auto"/>
        <w:tabs>
          <w:tab w:leader="none" w:pos="524" w:val="left"/>
        </w:tabs>
        <w:rPr>
          <w:sz w:val="20"/>
          <w:szCs w:val="20"/>
          <w:color w:val="auto"/>
        </w:rPr>
      </w:pPr>
      <w:r>
        <w:rPr>
          <w:rFonts w:ascii="Arial" w:cs="Arial" w:eastAsia="Arial" w:hAnsi="Arial"/>
          <w:sz w:val="18"/>
          <w:szCs w:val="18"/>
          <w:color w:val="auto"/>
        </w:rPr>
        <w:t>31.6</w:t>
        <w:tab/>
        <w:t>If ARM rejects a Licensee Enquiry Notice, such Licensee Enquiry Notice shall be automatically escalated and submitted for review by the Senior Representatives in accordance with Clause 40.3.</w:t>
      </w:r>
    </w:p>
    <w:p>
      <w:pPr>
        <w:spacing w:after="0" w:line="315" w:lineRule="exact"/>
        <w:rPr>
          <w:sz w:val="20"/>
          <w:szCs w:val="20"/>
          <w:color w:val="auto"/>
        </w:rPr>
      </w:pPr>
    </w:p>
    <w:p>
      <w:pPr>
        <w:ind w:left="544" w:hanging="544"/>
        <w:spacing w:after="0"/>
        <w:tabs>
          <w:tab w:leader="none" w:pos="544"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 OF LICENSEES AND ACQUISITONS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Reclassification of licensees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4"/>
          </w:cols>
          <w:pgMar w:left="436" w:top="270" w:right="479" w:bottom="1440" w:gutter="0" w:footer="0" w:header="0"/>
        </w:sectPr>
      </w:pPr>
    </w:p>
    <w:bookmarkStart w:id="374" w:name="page375"/>
    <w:bookmarkEnd w:id="374"/>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32.1.1</w:t>
        <w:tab/>
        <w:t>The Parties acknowledge and agree that, as at the date of this Agreement, the entities set out at Schedule 1 constitute PRC Licensees and, without prejudice to the licensing restriction contained in Clause 32.1.3, each listed entity shall be treated as a PRC Licensee unless and until that entity is Reclassified in accordance with this Clause 32.1.</w:t>
      </w:r>
    </w:p>
    <w:p>
      <w:pPr>
        <w:spacing w:after="0" w:line="89"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32.1.2</w:t>
        <w:tab/>
        <w:t>Subject to Clause 32.1.6, upon a change of circumstances (including a change in the nature of operations or the corporate characteristics) of a licensee of either Party (the “</w:t>
      </w:r>
      <w:r>
        <w:rPr>
          <w:rFonts w:ascii="Arial" w:cs="Arial" w:eastAsia="Arial" w:hAnsi="Arial"/>
          <w:sz w:val="18"/>
          <w:szCs w:val="18"/>
          <w:b w:val="1"/>
          <w:bCs w:val="1"/>
          <w:color w:val="auto"/>
        </w:rPr>
        <w:t>Identified Licensee</w:t>
      </w:r>
      <w:r>
        <w:rPr>
          <w:rFonts w:ascii="Arial" w:cs="Arial" w:eastAsia="Arial" w:hAnsi="Arial"/>
          <w:sz w:val="18"/>
          <w:szCs w:val="18"/>
          <w:color w:val="auto"/>
        </w:rPr>
        <w:t>”) (or that licensee’s Group) that results in a material change in the nature of operations or the corporate characteristics of that entity or its Group, that Party may notify the other Party in writing of that change of circumstances (a “</w:t>
      </w:r>
      <w:r>
        <w:rPr>
          <w:rFonts w:ascii="Arial" w:cs="Arial" w:eastAsia="Arial" w:hAnsi="Arial"/>
          <w:sz w:val="18"/>
          <w:szCs w:val="18"/>
          <w:b w:val="1"/>
          <w:bCs w:val="1"/>
          <w:color w:val="auto"/>
        </w:rPr>
        <w:t>Change Notification</w:t>
      </w:r>
      <w:r>
        <w:rPr>
          <w:rFonts w:ascii="Arial" w:cs="Arial" w:eastAsia="Arial" w:hAnsi="Arial"/>
          <w:sz w:val="18"/>
          <w:szCs w:val="18"/>
          <w:color w:val="auto"/>
        </w:rPr>
        <w:t>”).</w:t>
      </w:r>
    </w:p>
    <w:p>
      <w:pPr>
        <w:spacing w:after="0" w:line="92" w:lineRule="exact"/>
        <w:rPr>
          <w:sz w:val="20"/>
          <w:szCs w:val="20"/>
          <w:color w:val="auto"/>
        </w:rPr>
      </w:pPr>
    </w:p>
    <w:p>
      <w:pPr>
        <w:ind w:left="640" w:right="320" w:hanging="647"/>
        <w:spacing w:after="0" w:line="259" w:lineRule="auto"/>
        <w:tabs>
          <w:tab w:leader="none" w:pos="620" w:val="left"/>
        </w:tabs>
        <w:rPr>
          <w:sz w:val="20"/>
          <w:szCs w:val="20"/>
          <w:color w:val="auto"/>
        </w:rPr>
      </w:pPr>
      <w:r>
        <w:rPr>
          <w:rFonts w:ascii="Arial" w:cs="Arial" w:eastAsia="Arial" w:hAnsi="Arial"/>
          <w:sz w:val="18"/>
          <w:szCs w:val="18"/>
          <w:color w:val="auto"/>
        </w:rPr>
        <w:t>32.1.3</w:t>
        <w:tab/>
        <w:t>Upon receipt of a Change Notification, the Parties shall promptly meet to discuss the content of the Change Notification and seek to agree (each Party acing reasonably) upon whether the Identified Licensee and its Group should be “</w:t>
      </w:r>
      <w:r>
        <w:rPr>
          <w:rFonts w:ascii="Arial" w:cs="Arial" w:eastAsia="Arial" w:hAnsi="Arial"/>
          <w:sz w:val="18"/>
          <w:szCs w:val="18"/>
          <w:b w:val="1"/>
          <w:bCs w:val="1"/>
          <w:color w:val="auto"/>
        </w:rPr>
        <w:t>Reclassified</w:t>
      </w:r>
      <w:r>
        <w:rPr>
          <w:rFonts w:ascii="Arial" w:cs="Arial" w:eastAsia="Arial" w:hAnsi="Arial"/>
          <w:sz w:val="18"/>
          <w:szCs w:val="18"/>
          <w:color w:val="auto"/>
        </w:rPr>
        <w:t>” as Non-PRC Licensees (where the Identified Licensee is a PRC Licensee) or as PRC Licensees (where the Identified Licensee is a Non-PRC Licensee). [***]</w:t>
      </w:r>
    </w:p>
    <w:p>
      <w:pPr>
        <w:spacing w:after="0" w:line="92" w:lineRule="exact"/>
        <w:rPr>
          <w:sz w:val="20"/>
          <w:szCs w:val="20"/>
          <w:color w:val="auto"/>
        </w:rPr>
      </w:pPr>
    </w:p>
    <w:p>
      <w:pPr>
        <w:spacing w:after="0"/>
        <w:tabs>
          <w:tab w:leader="none" w:pos="620" w:val="left"/>
          <w:tab w:leader="none" w:pos="5920" w:val="left"/>
        </w:tabs>
        <w:rPr>
          <w:sz w:val="20"/>
          <w:szCs w:val="20"/>
          <w:color w:val="auto"/>
        </w:rPr>
      </w:pPr>
      <w:r>
        <w:rPr>
          <w:rFonts w:ascii="Arial" w:cs="Arial" w:eastAsia="Arial" w:hAnsi="Arial"/>
          <w:sz w:val="18"/>
          <w:szCs w:val="18"/>
          <w:color w:val="auto"/>
        </w:rPr>
        <w:t>32.1.4</w:t>
        <w:tab/>
        <w:t>In considering whether the Identified Licensee and its Group should be</w:t>
      </w:r>
      <w:r>
        <w:rPr>
          <w:sz w:val="20"/>
          <w:szCs w:val="20"/>
          <w:color w:val="auto"/>
        </w:rPr>
        <w:tab/>
      </w:r>
      <w:r>
        <w:rPr>
          <w:rFonts w:ascii="Arial" w:cs="Arial" w:eastAsia="Arial" w:hAnsi="Arial"/>
          <w:sz w:val="16"/>
          <w:szCs w:val="16"/>
          <w:color w:val="auto"/>
        </w:rPr>
        <w:t>Reclassified, the Parties shall consider (in good faith):</w:t>
      </w:r>
    </w:p>
    <w:p>
      <w:pPr>
        <w:spacing w:after="0" w:line="131" w:lineRule="exact"/>
        <w:rPr>
          <w:sz w:val="20"/>
          <w:szCs w:val="20"/>
          <w:color w:val="auto"/>
        </w:rPr>
      </w:pPr>
    </w:p>
    <w:p>
      <w:pPr>
        <w:ind w:left="1200" w:hanging="543"/>
        <w:spacing w:after="0"/>
        <w:tabs>
          <w:tab w:leader="none" w:pos="12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where the Identified Licensee was a Non-Standard PRC Licensee:</w:t>
      </w:r>
    </w:p>
    <w:p>
      <w:pPr>
        <w:spacing w:after="0" w:line="130" w:lineRule="exact"/>
        <w:rPr>
          <w:rFonts w:ascii="Arial" w:cs="Arial" w:eastAsia="Arial" w:hAnsi="Arial"/>
          <w:sz w:val="18"/>
          <w:szCs w:val="18"/>
          <w:color w:val="auto"/>
        </w:rPr>
      </w:pPr>
    </w:p>
    <w:p>
      <w:pPr>
        <w:ind w:left="1860" w:right="860" w:hanging="649"/>
        <w:spacing w:after="0" w:line="277" w:lineRule="auto"/>
        <w:tabs>
          <w:tab w:leader="none" w:pos="18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where the Non-Standard PRC Licensee was included in Section B of Part 1 of Schedule 1 at the date of this Agreement, the reasons for the inclusion of that entity;</w:t>
      </w:r>
    </w:p>
    <w:p>
      <w:pPr>
        <w:spacing w:after="0" w:line="75" w:lineRule="exact"/>
        <w:rPr>
          <w:rFonts w:ascii="Arial" w:cs="Arial" w:eastAsia="Arial" w:hAnsi="Arial"/>
          <w:sz w:val="18"/>
          <w:szCs w:val="18"/>
          <w:color w:val="auto"/>
        </w:rPr>
      </w:pPr>
    </w:p>
    <w:p>
      <w:pPr>
        <w:ind w:left="1860" w:hanging="649"/>
        <w:spacing w:after="0"/>
        <w:tabs>
          <w:tab w:leader="none" w:pos="186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similarity of the entity (following the change detailed in the Change Notification) to other PRC Licensees; and</w:t>
      </w:r>
    </w:p>
    <w:p>
      <w:pPr>
        <w:spacing w:after="0" w:line="142" w:lineRule="exact"/>
        <w:rPr>
          <w:rFonts w:ascii="Arial" w:cs="Arial" w:eastAsia="Arial" w:hAnsi="Arial"/>
          <w:sz w:val="17"/>
          <w:szCs w:val="17"/>
          <w:color w:val="auto"/>
        </w:rPr>
      </w:pPr>
    </w:p>
    <w:p>
      <w:pPr>
        <w:ind w:left="1860" w:right="60" w:hanging="649"/>
        <w:spacing w:after="0" w:line="342" w:lineRule="auto"/>
        <w:tabs>
          <w:tab w:leader="none" w:pos="186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impact of the change detailed in the Change Notification on the business operations of the entity and its Group, including the location of (i) its headquarters; and (ii) the majority of its employees, revenues and business activities; or</w:t>
      </w:r>
    </w:p>
    <w:p>
      <w:pPr>
        <w:spacing w:after="0" w:line="29" w:lineRule="exact"/>
        <w:rPr>
          <w:sz w:val="20"/>
          <w:szCs w:val="20"/>
          <w:color w:val="auto"/>
        </w:rPr>
      </w:pPr>
    </w:p>
    <w:p>
      <w:pPr>
        <w:ind w:left="1200" w:hanging="543"/>
        <w:spacing w:after="0"/>
        <w:tabs>
          <w:tab w:leader="none" w:pos="12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otherwise, the factors set out in Clause 32.1.6.</w:t>
      </w:r>
    </w:p>
    <w:p>
      <w:pPr>
        <w:spacing w:after="0" w:line="131" w:lineRule="exact"/>
        <w:rPr>
          <w:sz w:val="20"/>
          <w:szCs w:val="20"/>
          <w:color w:val="auto"/>
        </w:rPr>
      </w:pPr>
    </w:p>
    <w:p>
      <w:pPr>
        <w:jc w:val="both"/>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32.1.5</w:t>
        <w:tab/>
        <w:t>Where the Parties are unable to reach agreement on whether the Identified Licensee and its Group should be Reclassified within [***] Business Days of the meeting described at Clause 32.1.3, the issue shall be automatically escalated and submitted for review by Senior Representatives in accordance with Clause 40.3.</w:t>
      </w:r>
    </w:p>
    <w:p>
      <w:pPr>
        <w:spacing w:after="0" w:line="1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460"/>
          </w:cols>
          <w:pgMar w:left="980" w:top="274" w:right="459" w:bottom="1440" w:gutter="0" w:footer="0" w:header="0"/>
        </w:sectPr>
      </w:pPr>
    </w:p>
    <w:bookmarkStart w:id="375" w:name="page376"/>
    <w:bookmarkEnd w:id="375"/>
    <w:p>
      <w:pPr>
        <w:ind w:left="540"/>
        <w:spacing w:after="0"/>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32.1.6</w:t>
      </w:r>
      <w:r>
        <w:rPr>
          <w:sz w:val="20"/>
          <w:szCs w:val="20"/>
          <w:color w:val="auto"/>
        </w:rPr>
        <w:tab/>
      </w:r>
      <w:r>
        <w:rPr>
          <w:rFonts w:ascii="Arial" w:cs="Arial" w:eastAsia="Arial" w:hAnsi="Arial"/>
          <w:sz w:val="16"/>
          <w:szCs w:val="16"/>
          <w:color w:val="auto"/>
        </w:rPr>
        <w:t>Where either (i) a PRC Licensee (other than a Non-Standard PRC Licensee) ceases to meet any of the criteria set out in limbs A(i) to</w:t>
      </w:r>
    </w:p>
    <w:p>
      <w:pPr>
        <w:spacing w:after="0" w:line="23" w:lineRule="exact"/>
        <w:rPr>
          <w:sz w:val="20"/>
          <w:szCs w:val="20"/>
          <w:color w:val="auto"/>
        </w:rPr>
      </w:pPr>
    </w:p>
    <w:p>
      <w:pPr>
        <w:ind w:left="1480" w:hanging="296"/>
        <w:spacing w:after="0"/>
        <w:tabs>
          <w:tab w:leader="none" w:pos="14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or B(i) of the definition of ‘PRC Licensee’; or (ii) a Non-PRC Licensee begins to meet any of the criteria set out in limbs A(i) to</w:t>
      </w:r>
    </w:p>
    <w:p>
      <w:pPr>
        <w:spacing w:after="0" w:line="20" w:lineRule="exact"/>
        <w:rPr>
          <w:rFonts w:ascii="Arial" w:cs="Arial" w:eastAsia="Arial" w:hAnsi="Arial"/>
          <w:sz w:val="17"/>
          <w:szCs w:val="17"/>
          <w:color w:val="auto"/>
        </w:rPr>
      </w:pPr>
    </w:p>
    <w:p>
      <w:pPr>
        <w:ind w:left="1180" w:right="80" w:firstLine="4"/>
        <w:spacing w:after="0" w:line="270" w:lineRule="auto"/>
        <w:tabs>
          <w:tab w:leader="none" w:pos="148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or B(i) of the definition of ‘PRC Licensee’, such change shall be automatically deemed to be sufficiently material to enable a Party to issue a Change Notification and (save where otherwise agreed between the Parties) no other factors shall be relevant to the Reclassification decision. Notwithstanding the foregoing, where a PRC Licensee ceases to meet the criteria set out in any of limbs A(i) to (iv) or B(i) of the definition of ‘PRC Licensee’ but JVCo considers (acting reasonably) that that entity should be treated as a Non-Standard PRC Licensee rather than Reclassified as a Non-PRC Licensee, the Parties shall consider the similarity of that entity to other Non-Standard PRC Licensees when making the Reclassification assessment.</w:t>
      </w:r>
    </w:p>
    <w:p>
      <w:pPr>
        <w:spacing w:after="0" w:line="84" w:lineRule="exact"/>
        <w:rPr>
          <w:sz w:val="20"/>
          <w:szCs w:val="20"/>
          <w:color w:val="auto"/>
        </w:rPr>
      </w:pPr>
    </w:p>
    <w:p>
      <w:pPr>
        <w:ind w:left="1180" w:hanging="647"/>
        <w:spacing w:after="0" w:line="257" w:lineRule="auto"/>
        <w:tabs>
          <w:tab w:leader="none" w:pos="1160" w:val="left"/>
        </w:tabs>
        <w:rPr>
          <w:sz w:val="20"/>
          <w:szCs w:val="20"/>
          <w:color w:val="auto"/>
        </w:rPr>
      </w:pPr>
      <w:r>
        <w:rPr>
          <w:rFonts w:ascii="Arial" w:cs="Arial" w:eastAsia="Arial" w:hAnsi="Arial"/>
          <w:sz w:val="18"/>
          <w:szCs w:val="18"/>
          <w:color w:val="auto"/>
        </w:rPr>
        <w:t>32.1.7</w:t>
        <w:tab/>
        <w:t>The Parties acknowledge and agree that upon an Identified Licensee and its Group becoming Reclassified, the exclusivity afforded to each Party pursuant to this Agreement shall mean that the Party that previously entered into licenses with respect to any JVCo Licensed Products with that Identified Licensee and its Group (such Party being the “</w:t>
      </w:r>
      <w:r>
        <w:rPr>
          <w:rFonts w:ascii="Arial" w:cs="Arial" w:eastAsia="Arial" w:hAnsi="Arial"/>
          <w:sz w:val="18"/>
          <w:szCs w:val="18"/>
          <w:b w:val="1"/>
          <w:bCs w:val="1"/>
          <w:color w:val="auto"/>
        </w:rPr>
        <w:t>Outgoing Licensor</w:t>
      </w:r>
      <w:r>
        <w:rPr>
          <w:rFonts w:ascii="Arial" w:cs="Arial" w:eastAsia="Arial" w:hAnsi="Arial"/>
          <w:sz w:val="18"/>
          <w:szCs w:val="18"/>
          <w:color w:val="auto"/>
        </w:rPr>
        <w:t>”) shall not be permitted to enter into any new Commercial licensing arrangement with respect to any JVCo Licensed Products with the Identified Licensee or its Group, save where permitted pursuant to Clause 7.1 and 14.4.</w:t>
      </w:r>
    </w:p>
    <w:p>
      <w:pPr>
        <w:spacing w:after="0" w:line="93" w:lineRule="exact"/>
        <w:rPr>
          <w:sz w:val="20"/>
          <w:szCs w:val="20"/>
          <w:color w:val="auto"/>
        </w:rPr>
      </w:pPr>
    </w:p>
    <w:p>
      <w:pPr>
        <w:ind w:left="1180" w:hanging="647"/>
        <w:spacing w:after="0" w:line="285" w:lineRule="auto"/>
        <w:tabs>
          <w:tab w:leader="none" w:pos="1160" w:val="left"/>
        </w:tabs>
        <w:rPr>
          <w:sz w:val="20"/>
          <w:szCs w:val="20"/>
          <w:color w:val="auto"/>
        </w:rPr>
      </w:pPr>
      <w:r>
        <w:rPr>
          <w:rFonts w:ascii="Arial" w:cs="Arial" w:eastAsia="Arial" w:hAnsi="Arial"/>
          <w:sz w:val="18"/>
          <w:szCs w:val="18"/>
          <w:color w:val="auto"/>
        </w:rPr>
        <w:t>32.1.8</w:t>
      </w:r>
      <w:r>
        <w:rPr>
          <w:sz w:val="20"/>
          <w:szCs w:val="20"/>
          <w:color w:val="auto"/>
        </w:rPr>
        <w:tab/>
      </w:r>
      <w:r>
        <w:rPr>
          <w:rFonts w:ascii="Arial" w:cs="Arial" w:eastAsia="Arial" w:hAnsi="Arial"/>
          <w:sz w:val="16"/>
          <w:szCs w:val="16"/>
          <w:color w:val="auto"/>
        </w:rPr>
        <w:t>Notwithstanding the foregoing, nothing in this Agreement shall prevent the Outgoing Licensor from continuing to satisfy any contractual obligations (including with respect to the licensing of any JVCo Licensed Products) it owes to the Identified Licensee and its Group as at the date of the Reclassification until the termination, expiry or novation of such contractual obligations and the Outgoing Licensor shall be permitted to continue to engage with the Identified Licensee and its Group to the extent reasonably necessary to satisfy such obligations. Where the Outgoing Licensor continues to satisfy contractual obligations in accordance with this Clause</w:t>
      </w:r>
    </w:p>
    <w:p>
      <w:pPr>
        <w:spacing w:after="0" w:line="2" w:lineRule="exact"/>
        <w:rPr>
          <w:sz w:val="20"/>
          <w:szCs w:val="20"/>
          <w:color w:val="auto"/>
        </w:rPr>
      </w:pPr>
    </w:p>
    <w:p>
      <w:pPr>
        <w:ind w:left="1180" w:right="420"/>
        <w:spacing w:after="0" w:line="260" w:lineRule="auto"/>
        <w:rPr>
          <w:sz w:val="20"/>
          <w:szCs w:val="20"/>
          <w:color w:val="auto"/>
        </w:rPr>
      </w:pPr>
      <w:r>
        <w:rPr>
          <w:rFonts w:ascii="Arial" w:cs="Arial" w:eastAsia="Arial" w:hAnsi="Arial"/>
          <w:sz w:val="18"/>
          <w:szCs w:val="18"/>
          <w:color w:val="auto"/>
        </w:rPr>
        <w:t>32.1.8, the Reclassification shall be disregarded for the purposes of calculating any amounts due to the other Party pursuant to this Agreement with respect to that Identified Licensee and its Group.</w:t>
      </w:r>
    </w:p>
    <w:p>
      <w:pPr>
        <w:spacing w:after="0" w:line="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Acquisitions</w:t>
      </w:r>
    </w:p>
    <w:p>
      <w:pPr>
        <w:spacing w:after="0" w:line="131"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Arial" w:cs="Arial" w:eastAsia="Arial" w:hAnsi="Arial"/>
          <w:sz w:val="18"/>
          <w:szCs w:val="18"/>
          <w:color w:val="auto"/>
        </w:rPr>
        <w:t>32.2.1</w:t>
        <w:tab/>
        <w:t>In the event that ARM or any member of the ARM Group acquires a company or business that involves the licensing of any Semiconductor Technology to PRC Licensees, ARM shall notify JVCo as soon as reasonably practicable and the Parties shall promptly consult and agree (in good faith) upon a migration plan to facilitate JVCo’s licensing of such Semiconductor Technology to PRC Licensees.</w:t>
      </w:r>
    </w:p>
    <w:p>
      <w:pPr>
        <w:spacing w:after="0" w:line="92" w:lineRule="exact"/>
        <w:rPr>
          <w:sz w:val="20"/>
          <w:szCs w:val="20"/>
          <w:color w:val="auto"/>
        </w:rPr>
      </w:pPr>
    </w:p>
    <w:p>
      <w:pPr>
        <w:ind w:left="1180" w:right="200" w:hanging="647"/>
        <w:spacing w:after="0" w:line="259" w:lineRule="auto"/>
        <w:tabs>
          <w:tab w:leader="none" w:pos="1160" w:val="left"/>
        </w:tabs>
        <w:rPr>
          <w:sz w:val="20"/>
          <w:szCs w:val="20"/>
          <w:color w:val="auto"/>
        </w:rPr>
      </w:pPr>
      <w:r>
        <w:rPr>
          <w:rFonts w:ascii="Arial" w:cs="Arial" w:eastAsia="Arial" w:hAnsi="Arial"/>
          <w:sz w:val="18"/>
          <w:szCs w:val="18"/>
          <w:color w:val="auto"/>
        </w:rPr>
        <w:t>32.2.2</w:t>
        <w:tab/>
        <w:t>In the event that JVCo or any member of the JVCo Group acquires a company or business that involves the licensing of any Semiconductor Technology to Non-PRC Licensees, JVCo shall notify ARM as soon as reasonably practicable and the Parties shall promptly consult and agree (in good faith) upon a migration plan to facilitate ARM’s licensing of such Semiconductor Technology to Non-PRC Licensees.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376" w:name="page377"/>
    <w:bookmarkEnd w:id="376"/>
    <w:p>
      <w:pPr>
        <w:ind w:left="1184" w:right="180" w:hanging="647"/>
        <w:spacing w:after="0" w:line="301"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32.2.3</w:t>
      </w:r>
      <w:r>
        <w:rPr>
          <w:sz w:val="20"/>
          <w:szCs w:val="20"/>
          <w:color w:val="auto"/>
        </w:rPr>
        <w:tab/>
      </w:r>
      <w:r>
        <w:rPr>
          <w:rFonts w:ascii="Arial" w:cs="Arial" w:eastAsia="Arial" w:hAnsi="Arial"/>
          <w:sz w:val="16"/>
          <w:szCs w:val="16"/>
          <w:color w:val="auto"/>
        </w:rPr>
        <w:t>Nothing in this Agreement shall prevent the acquiring Party described in Clauses 32.2.1 and 32.2.2 from continuing to satisfy any contractual obligations it owes (or any member of its Group owes) to the licensees (who are counterparties to the acquired license agreements) as at the date of the acquisition until the termination, expiry or novation of such contractual obligations and the acquiring Party shall be permitted to continue to engage with the licensees to the extent reasonably necessary to satisfy such obligations.</w:t>
      </w:r>
    </w:p>
    <w:p>
      <w:pPr>
        <w:spacing w:after="0" w:line="302" w:lineRule="exact"/>
        <w:rPr>
          <w:sz w:val="20"/>
          <w:szCs w:val="20"/>
          <w:color w:val="auto"/>
        </w:rPr>
      </w:pPr>
    </w:p>
    <w:p>
      <w:pPr>
        <w:ind w:left="544" w:hanging="544"/>
        <w:spacing w:after="0"/>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NOVATING AGREEMENTS</w:t>
      </w:r>
    </w:p>
    <w:p>
      <w:pPr>
        <w:spacing w:after="0" w:line="135" w:lineRule="exact"/>
        <w:rPr>
          <w:sz w:val="20"/>
          <w:szCs w:val="20"/>
          <w:color w:val="auto"/>
        </w:rPr>
      </w:pPr>
    </w:p>
    <w:p>
      <w:pPr>
        <w:ind w:left="544" w:right="720" w:hanging="539"/>
        <w:spacing w:after="0" w:line="277" w:lineRule="auto"/>
        <w:tabs>
          <w:tab w:leader="none" w:pos="524" w:val="left"/>
        </w:tabs>
        <w:rPr>
          <w:sz w:val="20"/>
          <w:szCs w:val="20"/>
          <w:color w:val="auto"/>
        </w:rPr>
      </w:pPr>
      <w:r>
        <w:rPr>
          <w:rFonts w:ascii="Arial" w:cs="Arial" w:eastAsia="Arial" w:hAnsi="Arial"/>
          <w:sz w:val="18"/>
          <w:szCs w:val="18"/>
          <w:color w:val="auto"/>
        </w:rPr>
        <w:t>33.1</w:t>
        <w:tab/>
        <w:t>The Parties further acknowledge and agree that certain of the Transferring Contracts may not have been novated from ARM to JVCo in accordance with the Investment Agreement by the Effective Date.</w:t>
      </w:r>
    </w:p>
    <w:p>
      <w:pPr>
        <w:spacing w:after="0" w:line="76" w:lineRule="exact"/>
        <w:rPr>
          <w:sz w:val="20"/>
          <w:szCs w:val="20"/>
          <w:color w:val="auto"/>
        </w:rPr>
      </w:pPr>
    </w:p>
    <w:p>
      <w:pPr>
        <w:ind w:left="544" w:right="20" w:hanging="539"/>
        <w:spacing w:after="0" w:line="287" w:lineRule="auto"/>
        <w:tabs>
          <w:tab w:leader="none" w:pos="524"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With respect to any Transferring Contract that has not yet been novated to JVCo pursuant to Section 7.05 of the Investment Agreement as of the Operational Start-up Date, within eighteen (18) months after the Operational Start-up Date, both JVCo and ARM shall use all reasonable efforts to procure that each of the PRC Licensee counterparties to the Transferring Contracts agrees to transfer the Transferring Contracts to JVCo on terms substantially equivalent to the relevant Novation Agreement for each Transferring Contract. Novations of Transferring Contracts shall take effect on: (i) if the Novation Agreement is executed prior to the Operational Start-up Date or in the calendar quarter in which the Operational Start-up Date occurs, the Operational Start-up Date; and (ii) if the Novation Agreement is executed in a calendar quarter after the one in which the Operational Start-up Date occurs, the start of the calendar quarter in which the Novation Agreement is executed. JVCo shall perform its obligations under the Novated License Agreement and be bound by them as if JVCo were a party to those contracts in lieu of ARM or its Affiliate (as applicable). Notwithstanding the novation of a Transferring Contract, ARM shall be responsible for invoicing, and receiving payments from, counterparties to the Transferring Contracts, for amounts in respect of or able to be invoiced in the period prior to the novation taking effect. Each of ARM and JVCo shall bear its own costs of procuring that relevant counterparty(ies)’s consent to such transfers, provided that neither ARM nor JVCo shall be required to pay any amount to a counterparty to obtain its consent to such transfer.</w:t>
      </w:r>
    </w:p>
    <w:p>
      <w:pPr>
        <w:spacing w:after="0" w:line="73" w:lineRule="exact"/>
        <w:rPr>
          <w:sz w:val="20"/>
          <w:szCs w:val="20"/>
          <w:color w:val="auto"/>
        </w:rPr>
      </w:pPr>
    </w:p>
    <w:p>
      <w:pPr>
        <w:ind w:left="544" w:right="300" w:hanging="539"/>
        <w:spacing w:after="0" w:line="311" w:lineRule="auto"/>
        <w:tabs>
          <w:tab w:leader="none" w:pos="52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If a Transferring Contract involves a license of Third Party Restricted IP or DSG Tools, the Novation Agreement shall, without prejudice to Clauses 5.8, 5.9 and 7.4 of the IP License Agreement, except to the extent otherwise agreed in writing by ARM and JVCo, expressly exclude from the rights and obligations being novated, rights and obligations to the extent they relate to Third Party Restricted IP or DSG Tools.</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On and from the Operational Start-up Date until the date on which the relevant Transferring Contract is transferred to JVCo pursuant to</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6"/>
          <w:szCs w:val="16"/>
          <w:color w:val="auto"/>
        </w:rPr>
        <w:t>Section 7.05(a) of the Investment Agreement or Clause 33.2, the following clauses shall apply in respect of each Transferring Contract which has</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not, as at the Operational Start-up Date, been so transferred: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377" w:name="page378"/>
    <w:bookmarkEnd w:id="377"/>
    <w:p>
      <w:pPr>
        <w:jc w:val="both"/>
        <w:ind w:left="1160" w:right="20" w:hanging="647"/>
        <w:spacing w:after="0" w:line="263" w:lineRule="auto"/>
        <w:tabs>
          <w:tab w:leader="none" w:pos="1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33.4.1</w:t>
        <w:tab/>
        <w:t>ARM or its Affiliates (as the case may be) shall continue to perform its obligations under each Transferring Contract, and JVCo shall, at ARM’s written request, provide certain services in respect of the relevant Transferring Contract pursuant to the JV Services Agreement (as requested by ARM); and</w:t>
      </w:r>
    </w:p>
    <w:p>
      <w:pPr>
        <w:spacing w:after="0" w:line="89" w:lineRule="exact"/>
        <w:rPr>
          <w:sz w:val="20"/>
          <w:szCs w:val="20"/>
          <w:color w:val="auto"/>
        </w:rPr>
      </w:pPr>
    </w:p>
    <w:p>
      <w:pPr>
        <w:ind w:left="1160" w:hanging="647"/>
        <w:spacing w:after="0" w:line="263" w:lineRule="auto"/>
        <w:tabs>
          <w:tab w:leader="none" w:pos="1140" w:val="left"/>
        </w:tabs>
        <w:rPr>
          <w:sz w:val="20"/>
          <w:szCs w:val="20"/>
          <w:color w:val="auto"/>
        </w:rPr>
      </w:pPr>
      <w:r>
        <w:rPr>
          <w:rFonts w:ascii="Arial" w:cs="Arial" w:eastAsia="Arial" w:hAnsi="Arial"/>
          <w:sz w:val="18"/>
          <w:szCs w:val="18"/>
          <w:color w:val="auto"/>
        </w:rPr>
        <w:t>33.4.2</w:t>
        <w:tab/>
        <w:t>except as permitted under Section 7.05 of the Investment Agreement or this Clause 33, ARM shall procure that none of its Affiliates shall agree to any termination or material amendment or waiver of their rights under the relevant Transferring Contract without the prior written consent of JVCo (not to be unreasonably withheld, conditioned or delayed).</w:t>
      </w:r>
    </w:p>
    <w:p>
      <w:pPr>
        <w:spacing w:after="0" w:line="89" w:lineRule="exact"/>
        <w:rPr>
          <w:sz w:val="20"/>
          <w:szCs w:val="20"/>
          <w:color w:val="auto"/>
        </w:rPr>
      </w:pPr>
    </w:p>
    <w:p>
      <w:pPr>
        <w:ind w:left="520" w:right="100" w:hanging="539"/>
        <w:spacing w:after="0" w:line="296" w:lineRule="auto"/>
        <w:tabs>
          <w:tab w:leader="none" w:pos="50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From and after the Operational Start-up Date, if a request is made to ARM or an Affiliate of ARM, or JVCo or an Affiliate of JVCo, for a new license of, or a renewal of an existing license of, ARM Licensed IP by any PRC Licensee who is a counterparty or an Affiliate of a counterparty to a Transferring Contract which has not at the relevant time been transferred to JVCo pursuant to Section 7.05(a) of the Investment Agreement or this Clause 33, neither ARM nor its Affiliates, nor JVCo or its Affiliates, shall enter into any such requested license with such Person until such time as the relevant Transferring Contract has been transferred to JVCo pursuant to Section 7.05(a) of the Investment or this Clause 33.</w:t>
      </w:r>
    </w:p>
    <w:p>
      <w:pPr>
        <w:spacing w:after="0" w:line="67" w:lineRule="exact"/>
        <w:rPr>
          <w:sz w:val="20"/>
          <w:szCs w:val="20"/>
          <w:color w:val="auto"/>
        </w:rPr>
      </w:pPr>
    </w:p>
    <w:p>
      <w:pPr>
        <w:ind w:left="520" w:right="60" w:hanging="539"/>
        <w:spacing w:after="0" w:line="253" w:lineRule="auto"/>
        <w:tabs>
          <w:tab w:leader="none" w:pos="500" w:val="left"/>
        </w:tabs>
        <w:rPr>
          <w:sz w:val="20"/>
          <w:szCs w:val="20"/>
          <w:color w:val="auto"/>
        </w:rPr>
      </w:pPr>
      <w:r>
        <w:rPr>
          <w:rFonts w:ascii="Arial" w:cs="Arial" w:eastAsia="Arial" w:hAnsi="Arial"/>
          <w:sz w:val="18"/>
          <w:szCs w:val="18"/>
          <w:color w:val="auto"/>
        </w:rPr>
        <w:t>33.6</w:t>
        <w:tab/>
        <w:t>JVCo undertakes to ARM that it will duly and properly perform, assume and pay and discharge when due and indemnify ARM and its Affiliates against all liabilities and obligations of ARM and its Affiliates under the Transferring Contracts arising on or after the later of the Operational Start-up Date and the date the novation of such Transferring Contract takes effect (other than any costs incurred by ARM or its Affiliates pursuant to Section 7.05(a) of the Investment Agreement or Clause 33.2), provided that JVCo shall not be liable for any liability or obligation under such Transferring Contract that arose or was accrued before the later of the Operational Start-up Date and the date the novation of such Transferring Contract takes effect, and ARM shall indemnify JVCo against all liabilities and obligations of ARM and its Affiliates under any Transferring Contract not assumed by JVCo under Section 7.05 of the Investment Agreement and this Clause 33 (including all liabilities and obligations related to or arising under any Transferring Contract in relation to the period prior to the date of transfer to JVCo (whether the same have arisen or arise after the date of transfer to JVCo) and all liabilities and obligations in relation to any Transferring Contract that do not transfer).</w:t>
      </w:r>
    </w:p>
    <w:p>
      <w:pPr>
        <w:spacing w:after="0" w:line="100" w:lineRule="exact"/>
        <w:rPr>
          <w:sz w:val="20"/>
          <w:szCs w:val="20"/>
          <w:color w:val="auto"/>
        </w:rPr>
      </w:pPr>
    </w:p>
    <w:p>
      <w:pPr>
        <w:jc w:val="both"/>
        <w:ind w:left="520" w:right="20" w:hanging="539"/>
        <w:spacing w:after="0" w:line="279" w:lineRule="auto"/>
        <w:tabs>
          <w:tab w:leader="none" w:pos="50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7"/>
          <w:szCs w:val="17"/>
          <w:color w:val="auto"/>
        </w:rPr>
        <w:t>To the extent JVCo does not already have a copy, ARM shall deliver to JVCo (i) at the Operational Start-up, a copy of any Novation Agreements entered into pursuant to Section 7.05(a) of the Investment Agreement or Clause 33.2 on or prior to the Operational Start-up Date, and (ii) as soon as reasonably practicable after entry into of such agreements, a copy of any Novation Agreements entered into pursuant to Section 7.05(a) of the Investment Agreement or Clause 33.2 after the Operational Start-up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0"/>
          </w:cols>
          <w:pgMar w:left="460" w:top="274" w:right="459" w:bottom="1440" w:gutter="0" w:footer="0" w:header="0"/>
        </w:sectPr>
      </w:pPr>
    </w:p>
    <w:bookmarkStart w:id="378" w:name="page379"/>
    <w:bookmarkEnd w:id="378"/>
    <w:p>
      <w:pPr>
        <w:ind w:left="544" w:hanging="539"/>
        <w:spacing w:after="0" w:line="28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33.8</w:t>
      </w:r>
      <w:r>
        <w:rPr>
          <w:sz w:val="20"/>
          <w:szCs w:val="20"/>
          <w:color w:val="auto"/>
        </w:rPr>
        <w:tab/>
      </w:r>
      <w:r>
        <w:rPr>
          <w:rFonts w:ascii="Arial" w:cs="Arial" w:eastAsia="Arial" w:hAnsi="Arial"/>
          <w:sz w:val="16"/>
          <w:szCs w:val="16"/>
          <w:color w:val="auto"/>
        </w:rPr>
        <w:t>After the Operational Start-up Date, within [***] days after the end of each calendar quarter solely with respect to each Transferring Contract containing a license of an Original ARM Product (including M Class Products, but excluding DSG Tools) that has not yet been novated to JVCo pursuant to Section 7.05 of the Investment Agreement or this Clause 33 (each an “</w:t>
      </w:r>
      <w:r>
        <w:rPr>
          <w:rFonts w:ascii="Arial" w:cs="Arial" w:eastAsia="Arial" w:hAnsi="Arial"/>
          <w:sz w:val="16"/>
          <w:szCs w:val="16"/>
          <w:b w:val="1"/>
          <w:bCs w:val="1"/>
          <w:color w:val="auto"/>
        </w:rPr>
        <w:t>In-Flight License</w:t>
      </w:r>
      <w:r>
        <w:rPr>
          <w:rFonts w:ascii="Arial" w:cs="Arial" w:eastAsia="Arial" w:hAnsi="Arial"/>
          <w:sz w:val="16"/>
          <w:szCs w:val="16"/>
          <w:color w:val="auto"/>
        </w:rPr>
        <w:t>”), (i) ARM shall, to the extent that such obligations are not satisfied under Section 7.05(i) of the Investment Agreement, (x) pay to JVCo an amount equal to 10% of any Royalties and License Fees relating to periods on or after the Operational Start-up Date that are Paid or Payable to ARM (less any Tax thereon) pursuant to such In-Flight License during that calendar quarter (each quarterly payment being a “</w:t>
      </w:r>
      <w:r>
        <w:rPr>
          <w:rFonts w:ascii="Arial" w:cs="Arial" w:eastAsia="Arial" w:hAnsi="Arial"/>
          <w:sz w:val="16"/>
          <w:szCs w:val="16"/>
          <w:b w:val="1"/>
          <w:bCs w:val="1"/>
          <w:color w:val="auto"/>
        </w:rPr>
        <w:t>Transferring Contract Commission Payment</w:t>
      </w:r>
      <w:r>
        <w:rPr>
          <w:rFonts w:ascii="Arial" w:cs="Arial" w:eastAsia="Arial" w:hAnsi="Arial"/>
          <w:sz w:val="16"/>
          <w:szCs w:val="16"/>
          <w:color w:val="auto"/>
        </w:rPr>
        <w:t>” and the first Transferring Contract Commission Payment shall relate to the period from the Operational Start-up Date until the end of that calendar quarter); and (y) to the extent permitted by Applicable Law (including competition laws), provide to JVCo a report specifying the Royalties and License Fees relating to periods on or after the Operational Start-up Date that are Paid or Payable to ARM during that calendar quarter with respect to all In-Flight Licenses on an aggregated and anonymised basis by product and customer, and (ii) JVCo shall not distribute that report to any officer, director or employee of JVCo or any of its Subsidiaries who is involved in the pricing or licencing arrangements for that entity.</w:t>
      </w:r>
    </w:p>
    <w:p>
      <w:pPr>
        <w:spacing w:after="0" w:line="316" w:lineRule="exact"/>
        <w:rPr>
          <w:sz w:val="20"/>
          <w:szCs w:val="20"/>
          <w:color w:val="auto"/>
        </w:rPr>
      </w:pPr>
    </w:p>
    <w:p>
      <w:pPr>
        <w:ind w:left="544" w:hanging="544"/>
        <w:spacing w:after="0"/>
        <w:tabs>
          <w:tab w:leader="none" w:pos="54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135" w:lineRule="exact"/>
        <w:rPr>
          <w:sz w:val="20"/>
          <w:szCs w:val="20"/>
          <w:color w:val="auto"/>
        </w:rPr>
      </w:pPr>
    </w:p>
    <w:p>
      <w:pPr>
        <w:ind w:left="544" w:right="360" w:hanging="539"/>
        <w:spacing w:after="0" w:line="279" w:lineRule="auto"/>
        <w:tabs>
          <w:tab w:leader="none" w:pos="524"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7"/>
          <w:szCs w:val="17"/>
          <w:color w:val="auto"/>
        </w:rPr>
        <w:t>ARM shall, on reasonable notice to JVCo, be entitled to appoint a firm of independent auditors to audit JVCo’s activities with respect to the ARM Licensed IP to ensure: (i) compliance with this Agreement; and (ii) that JVCo is adopting Intellectual Property security practices and processes which are at least as rigorous and protective as industry best practice processes. JVCo shall make available such personnel, documentation and/or access to premises as ARM may reasonably request in order to perform its audit.</w:t>
      </w:r>
    </w:p>
    <w:p>
      <w:pPr>
        <w:spacing w:after="0" w:line="77" w:lineRule="exact"/>
        <w:rPr>
          <w:sz w:val="20"/>
          <w:szCs w:val="20"/>
          <w:color w:val="auto"/>
        </w:rPr>
      </w:pPr>
    </w:p>
    <w:p>
      <w:pPr>
        <w:ind w:left="544" w:right="360" w:hanging="539"/>
        <w:spacing w:after="0" w:line="263" w:lineRule="auto"/>
        <w:tabs>
          <w:tab w:leader="none" w:pos="524" w:val="left"/>
        </w:tabs>
        <w:rPr>
          <w:sz w:val="20"/>
          <w:szCs w:val="20"/>
          <w:color w:val="auto"/>
        </w:rPr>
      </w:pPr>
      <w:r>
        <w:rPr>
          <w:rFonts w:ascii="Arial" w:cs="Arial" w:eastAsia="Arial" w:hAnsi="Arial"/>
          <w:sz w:val="18"/>
          <w:szCs w:val="18"/>
          <w:color w:val="auto"/>
        </w:rPr>
        <w:t>34.2</w:t>
        <w:tab/>
        <w:t>JVCo shall, on reasonable notice to ARM, be entitled to appoint a firm of independent auditors to audit ARM’s activities with respect to the JVCo Licensed IP to ensure compliance with this Agreement. ARM shall make available such personnel, documentation and/or access to premises as JVCo may reasonably request in order to perform its audit.</w:t>
      </w:r>
    </w:p>
    <w:p>
      <w:pPr>
        <w:spacing w:after="0" w:line="89" w:lineRule="exact"/>
        <w:rPr>
          <w:sz w:val="20"/>
          <w:szCs w:val="20"/>
          <w:color w:val="auto"/>
        </w:rPr>
      </w:pPr>
    </w:p>
    <w:p>
      <w:pPr>
        <w:ind w:left="544" w:right="560" w:hanging="539"/>
        <w:spacing w:after="0" w:line="277" w:lineRule="auto"/>
        <w:tabs>
          <w:tab w:leader="none" w:pos="524" w:val="left"/>
        </w:tabs>
        <w:rPr>
          <w:sz w:val="20"/>
          <w:szCs w:val="20"/>
          <w:color w:val="auto"/>
        </w:rPr>
      </w:pPr>
      <w:r>
        <w:rPr>
          <w:rFonts w:ascii="Arial" w:cs="Arial" w:eastAsia="Arial" w:hAnsi="Arial"/>
          <w:sz w:val="18"/>
          <w:szCs w:val="18"/>
          <w:color w:val="auto"/>
        </w:rPr>
        <w:t>34.3</w:t>
        <w:tab/>
        <w:t>Each Party shall bear their own costs in relation to any audit undertaken in accordance with this Clause 34, save that the other Party shall reimburse the Party that initiated the audit (the “</w:t>
      </w:r>
      <w:r>
        <w:rPr>
          <w:rFonts w:ascii="Arial" w:cs="Arial" w:eastAsia="Arial" w:hAnsi="Arial"/>
          <w:sz w:val="18"/>
          <w:szCs w:val="18"/>
          <w:b w:val="1"/>
          <w:bCs w:val="1"/>
          <w:color w:val="auto"/>
        </w:rPr>
        <w:t>Initiating Party</w:t>
      </w:r>
      <w:r>
        <w:rPr>
          <w:rFonts w:ascii="Arial" w:cs="Arial" w:eastAsia="Arial" w:hAnsi="Arial"/>
          <w:sz w:val="18"/>
          <w:szCs w:val="18"/>
          <w:color w:val="auto"/>
        </w:rPr>
        <w:t>”) for all such costs where:</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34.3.1</w:t>
      </w:r>
      <w:r>
        <w:rPr>
          <w:sz w:val="20"/>
          <w:szCs w:val="20"/>
          <w:color w:val="auto"/>
        </w:rPr>
        <w:tab/>
      </w:r>
      <w:r>
        <w:rPr>
          <w:rFonts w:ascii="Arial" w:cs="Arial" w:eastAsia="Arial" w:hAnsi="Arial"/>
          <w:sz w:val="16"/>
          <w:szCs w:val="16"/>
          <w:color w:val="auto"/>
        </w:rPr>
        <w:t>the audit reveals that the other Party has breached the terms of this Agreement in a way that is more than immaterial or insubstantial; or</w:t>
      </w:r>
    </w:p>
    <w:p>
      <w:pPr>
        <w:spacing w:after="0" w:line="131" w:lineRule="exact"/>
        <w:rPr>
          <w:sz w:val="20"/>
          <w:szCs w:val="20"/>
          <w:color w:val="auto"/>
        </w:rPr>
      </w:pPr>
    </w:p>
    <w:p>
      <w:pPr>
        <w:ind w:left="1184" w:right="480" w:hanging="647"/>
        <w:spacing w:after="0" w:line="277" w:lineRule="auto"/>
        <w:tabs>
          <w:tab w:leader="none" w:pos="1164" w:val="left"/>
        </w:tabs>
        <w:rPr>
          <w:sz w:val="20"/>
          <w:szCs w:val="20"/>
          <w:color w:val="auto"/>
        </w:rPr>
      </w:pPr>
      <w:r>
        <w:rPr>
          <w:rFonts w:ascii="Arial" w:cs="Arial" w:eastAsia="Arial" w:hAnsi="Arial"/>
          <w:sz w:val="18"/>
          <w:szCs w:val="18"/>
          <w:color w:val="auto"/>
        </w:rPr>
        <w:t>34.3.2</w:t>
        <w:tab/>
        <w:t>the other Party has failed to provide the auditors with all requested records and accounts containing information bearing upon the subject matter of the audit within a reasonable period following any such request.</w:t>
      </w:r>
    </w:p>
    <w:p>
      <w:pPr>
        <w:spacing w:after="0" w:line="76"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34.4</w:t>
        <w:tab/>
        <w:t>Following any audit undertaken in accordance with this Clause 34, the Initiating Party may require that the Parties discuss the findings and, if appropriate, the Parties shall seek to agree a plan to address any concerns identified in the audit.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4"/>
          </w:cols>
          <w:pgMar w:left="436" w:top="274" w:right="499" w:bottom="1440" w:gutter="0" w:footer="0" w:header="0"/>
        </w:sectPr>
      </w:pPr>
    </w:p>
    <w:bookmarkStart w:id="379" w:name="page380"/>
    <w:bookmarkEnd w:id="379"/>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34.5</w:t>
      </w:r>
      <w:r>
        <w:rPr>
          <w:sz w:val="20"/>
          <w:szCs w:val="20"/>
          <w:color w:val="auto"/>
        </w:rPr>
        <w:tab/>
      </w:r>
      <w:r>
        <w:rPr>
          <w:rFonts w:ascii="Arial" w:cs="Arial" w:eastAsia="Arial" w:hAnsi="Arial"/>
          <w:sz w:val="16"/>
          <w:szCs w:val="16"/>
          <w:color w:val="auto"/>
        </w:rPr>
        <w:t>Prior to entering into any licensing arrangement with any PRC Licensee in accordance with the terms of this Agreement, JVCo shall:</w:t>
      </w:r>
    </w:p>
    <w:p>
      <w:pPr>
        <w:spacing w:after="0" w:line="131" w:lineRule="exact"/>
        <w:rPr>
          <w:sz w:val="20"/>
          <w:szCs w:val="20"/>
          <w:color w:val="auto"/>
        </w:rPr>
      </w:pPr>
    </w:p>
    <w:p>
      <w:pPr>
        <w:ind w:left="1184" w:right="120" w:hanging="647"/>
        <w:spacing w:after="0" w:line="263" w:lineRule="auto"/>
        <w:tabs>
          <w:tab w:leader="none" w:pos="1164" w:val="left"/>
        </w:tabs>
        <w:rPr>
          <w:sz w:val="20"/>
          <w:szCs w:val="20"/>
          <w:color w:val="auto"/>
        </w:rPr>
      </w:pPr>
      <w:r>
        <w:rPr>
          <w:rFonts w:ascii="Arial" w:cs="Arial" w:eastAsia="Arial" w:hAnsi="Arial"/>
          <w:sz w:val="18"/>
          <w:szCs w:val="18"/>
          <w:color w:val="auto"/>
        </w:rPr>
        <w:t>34.5.1</w:t>
        <w:tab/>
        <w:t>undertake sufficient financial due diligence with respect to the proposed PRC Licensee in order to satisfy itself (to a reasonable extent) that the creditworthiness of the PRC Licensee is adequate to support the financial obligations that will be imposed on such PRC Licensee pursuant to the proposed licensing arrangement; and</w:t>
      </w:r>
    </w:p>
    <w:p>
      <w:pPr>
        <w:spacing w:after="0" w:line="89" w:lineRule="exact"/>
        <w:rPr>
          <w:sz w:val="20"/>
          <w:szCs w:val="20"/>
          <w:color w:val="auto"/>
        </w:rPr>
      </w:pPr>
    </w:p>
    <w:p>
      <w:pPr>
        <w:ind w:left="1184" w:hanging="647"/>
        <w:spacing w:after="0" w:line="286" w:lineRule="auto"/>
        <w:tabs>
          <w:tab w:leader="none" w:pos="1164" w:val="left"/>
        </w:tabs>
        <w:rPr>
          <w:sz w:val="20"/>
          <w:szCs w:val="20"/>
          <w:color w:val="auto"/>
        </w:rPr>
      </w:pPr>
      <w:r>
        <w:rPr>
          <w:rFonts w:ascii="Arial" w:cs="Arial" w:eastAsia="Arial" w:hAnsi="Arial"/>
          <w:sz w:val="18"/>
          <w:szCs w:val="18"/>
          <w:color w:val="auto"/>
        </w:rPr>
        <w:t>34.5.2</w:t>
      </w:r>
      <w:r>
        <w:rPr>
          <w:sz w:val="20"/>
          <w:szCs w:val="20"/>
          <w:color w:val="auto"/>
        </w:rPr>
        <w:tab/>
      </w:r>
      <w:r>
        <w:rPr>
          <w:rFonts w:ascii="Arial" w:cs="Arial" w:eastAsia="Arial" w:hAnsi="Arial"/>
          <w:sz w:val="17"/>
          <w:szCs w:val="17"/>
          <w:color w:val="auto"/>
        </w:rPr>
        <w:t>undertake Intellectual Property security due diligence in accordance with the Prescribed Security Audit Requirements (notified by ARM to JVCo from time to time) in order to satisfy itself (to a reasonable extent) that the PRC Licensee has adequate processes in place to protect the Intellectual Property licensed, provided or made available by JVCo to that PRC Licensee.</w:t>
      </w:r>
    </w:p>
    <w:p>
      <w:pPr>
        <w:spacing w:after="0" w:line="71"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34.6</w:t>
        <w:tab/>
        <w:t>The obligation set out at Clause 34.5.2 shall also apply where an additional product is being added by JVCo to the scope of an existing licensing arrangement with a PRC Licensee, where the Prescribed Audit Requirements for that product are different to the requirements that the PRC Licensee has previously been checked against.</w:t>
      </w:r>
    </w:p>
    <w:p>
      <w:pPr>
        <w:spacing w:after="0" w:line="328" w:lineRule="exact"/>
        <w:rPr>
          <w:sz w:val="20"/>
          <w:szCs w:val="20"/>
          <w:color w:val="auto"/>
        </w:rPr>
      </w:pPr>
    </w:p>
    <w:p>
      <w:pPr>
        <w:ind w:left="544" w:hanging="544"/>
        <w:spacing w:after="0"/>
        <w:tabs>
          <w:tab w:leader="none" w:pos="54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Obligation of confidentiality</w:t>
      </w:r>
    </w:p>
    <w:p>
      <w:pPr>
        <w:spacing w:after="0" w:line="117" w:lineRule="exact"/>
        <w:rPr>
          <w:sz w:val="20"/>
          <w:szCs w:val="20"/>
          <w:color w:val="auto"/>
        </w:rPr>
      </w:pPr>
    </w:p>
    <w:p>
      <w:pPr>
        <w:ind w:left="544" w:right="120"/>
        <w:spacing w:after="0" w:line="257" w:lineRule="auto"/>
        <w:rPr>
          <w:sz w:val="20"/>
          <w:szCs w:val="20"/>
          <w:color w:val="auto"/>
        </w:rPr>
      </w:pPr>
      <w:r>
        <w:rPr>
          <w:rFonts w:ascii="Arial" w:cs="Arial" w:eastAsia="Arial" w:hAnsi="Arial"/>
          <w:sz w:val="18"/>
          <w:szCs w:val="18"/>
          <w:color w:val="auto"/>
        </w:rPr>
        <w:t>Except as expressly provided by Clause 35.2, each Party shall maintain in confidence the Confidential Information and apply security measures no less stringent than the measures that such Party applies to its own like information, and not less than a reasonable degree of care, to prevent unauthorised disclosure and use of the Confidential Information. The period of confidentiality shall be indefinite with respect to each Party’s Confidential Information. Nothing in this Clause 35 shall prevent either Party from entering into licensing arrangements with licensees on the terms permitted by this Agreement.</w:t>
      </w:r>
    </w:p>
    <w:p>
      <w:pPr>
        <w:spacing w:after="0" w:line="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Permitted Disclosures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35.2.1</w:t>
      </w:r>
      <w:r>
        <w:rPr>
          <w:sz w:val="20"/>
          <w:szCs w:val="20"/>
          <w:color w:val="auto"/>
        </w:rPr>
        <w:tab/>
      </w:r>
      <w:r>
        <w:rPr>
          <w:rFonts w:ascii="Arial" w:cs="Arial" w:eastAsia="Arial" w:hAnsi="Arial"/>
          <w:sz w:val="16"/>
          <w:szCs w:val="16"/>
          <w:color w:val="auto"/>
        </w:rPr>
        <w:t>Either Party may disclose Confidential Information received from the other Party in the following circumstances:</w:t>
      </w:r>
    </w:p>
    <w:p>
      <w:pPr>
        <w:spacing w:after="0" w:line="131" w:lineRule="exact"/>
        <w:rPr>
          <w:sz w:val="20"/>
          <w:szCs w:val="20"/>
          <w:color w:val="auto"/>
        </w:rPr>
      </w:pPr>
    </w:p>
    <w:p>
      <w:pPr>
        <w:ind w:left="1744" w:right="140" w:hanging="543"/>
        <w:spacing w:after="0" w:line="279" w:lineRule="auto"/>
        <w:tabs>
          <w:tab w:leader="none" w:pos="174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disclosure to third parties to the extent that the Confidential Information is required to be disclosed pursuant to a court order or as otherwise required by law, provided that the Party required to make the disclosure promptly notifies the other Party upon learning of such requirement and has given the other Party a reasonable opportunity to contest or limit the scope of such required disclosure (including but not limited to making an application for a protective order);</w:t>
      </w:r>
    </w:p>
    <w:p>
      <w:pPr>
        <w:spacing w:after="0" w:line="76" w:lineRule="exact"/>
        <w:rPr>
          <w:rFonts w:ascii="Arial" w:cs="Arial" w:eastAsia="Arial" w:hAnsi="Arial"/>
          <w:sz w:val="17"/>
          <w:szCs w:val="17"/>
          <w:color w:val="auto"/>
        </w:rPr>
      </w:pPr>
    </w:p>
    <w:p>
      <w:pPr>
        <w:ind w:left="5424" w:right="320" w:hanging="4223"/>
        <w:spacing w:after="0" w:line="449" w:lineRule="auto"/>
        <w:tabs>
          <w:tab w:leader="none" w:pos="17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disclosure to nominated third parties under written authority from the original discloser of the Confidential Information; and 90</w:t>
      </w:r>
    </w:p>
    <w:p>
      <w:pPr>
        <w:sectPr>
          <w:pgSz w:w="11900" w:h="16838" w:orient="portrait"/>
          <w:cols w:equalWidth="0" w:num="1">
            <w:col w:w="11004"/>
          </w:cols>
          <w:pgMar w:left="436" w:top="274" w:right="459" w:bottom="1440" w:gutter="0" w:footer="0" w:header="0"/>
        </w:sectPr>
      </w:pPr>
    </w:p>
    <w:bookmarkStart w:id="380" w:name="page381"/>
    <w:bookmarkEnd w:id="380"/>
    <w:p>
      <w:pPr>
        <w:ind w:left="1740" w:right="100" w:hanging="543"/>
        <w:spacing w:after="0" w:line="277" w:lineRule="auto"/>
        <w:tabs>
          <w:tab w:leader="none" w:pos="17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to the receiving Party’s legal counsel, accountants or professional advisors to the extent necessary for them to advise upon the interpretation or enforcement of this Agreement.</w:t>
      </w:r>
    </w:p>
    <w:p>
      <w:pPr>
        <w:spacing w:after="0" w:line="76" w:lineRule="exact"/>
        <w:rPr>
          <w:sz w:val="20"/>
          <w:szCs w:val="20"/>
          <w:color w:val="auto"/>
        </w:rPr>
      </w:pPr>
    </w:p>
    <w:p>
      <w:pPr>
        <w:jc w:val="both"/>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35.2.2</w:t>
        <w:tab/>
        <w:t>Royalty reports may be disclosed in confidence to the Receiving Party’s financial and legal advisors. In addition, ARM may disclose the total unit sales, from time to time, of ARM Compliant Products provided that the unit sales of such products by JVCo are not separately identifiable or deducible therefrom.</w:t>
      </w:r>
    </w:p>
    <w:p>
      <w:pPr>
        <w:spacing w:after="0" w:line="89" w:lineRule="exact"/>
        <w:rPr>
          <w:sz w:val="20"/>
          <w:szCs w:val="20"/>
          <w:color w:val="auto"/>
        </w:rPr>
      </w:pPr>
    </w:p>
    <w:p>
      <w:pPr>
        <w:ind w:left="1180" w:right="80" w:hanging="647"/>
        <w:spacing w:after="0" w:line="277" w:lineRule="auto"/>
        <w:tabs>
          <w:tab w:leader="none" w:pos="1160" w:val="left"/>
        </w:tabs>
        <w:rPr>
          <w:sz w:val="20"/>
          <w:szCs w:val="20"/>
          <w:color w:val="auto"/>
        </w:rPr>
      </w:pPr>
      <w:r>
        <w:rPr>
          <w:rFonts w:ascii="Arial" w:cs="Arial" w:eastAsia="Arial" w:hAnsi="Arial"/>
          <w:sz w:val="18"/>
          <w:szCs w:val="18"/>
          <w:color w:val="auto"/>
        </w:rPr>
        <w:t>35.2.3</w:t>
        <w:tab/>
        <w:t>Each Party shall be permitted to disclose Confidential Information of the other Party to members of its Group subject to the same terms and conditions of confidentiality as are set out in this Agreement.</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Restricted Use</w:t>
      </w:r>
    </w:p>
    <w:p>
      <w:pPr>
        <w:spacing w:after="0" w:line="131" w:lineRule="exact"/>
        <w:rPr>
          <w:sz w:val="20"/>
          <w:szCs w:val="20"/>
          <w:color w:val="auto"/>
        </w:rPr>
      </w:pPr>
    </w:p>
    <w:p>
      <w:pPr>
        <w:ind w:left="1180" w:right="240" w:hanging="647"/>
        <w:spacing w:after="0" w:line="311" w:lineRule="auto"/>
        <w:tabs>
          <w:tab w:leader="none" w:pos="1160" w:val="left"/>
        </w:tabs>
        <w:rPr>
          <w:sz w:val="20"/>
          <w:szCs w:val="20"/>
          <w:color w:val="auto"/>
        </w:rPr>
      </w:pPr>
      <w:r>
        <w:rPr>
          <w:rFonts w:ascii="Arial" w:cs="Arial" w:eastAsia="Arial" w:hAnsi="Arial"/>
          <w:sz w:val="18"/>
          <w:szCs w:val="18"/>
          <w:color w:val="auto"/>
        </w:rPr>
        <w:t>35.3.1</w:t>
      </w:r>
      <w:r>
        <w:rPr>
          <w:sz w:val="20"/>
          <w:szCs w:val="20"/>
          <w:color w:val="auto"/>
        </w:rPr>
        <w:tab/>
      </w:r>
      <w:r>
        <w:rPr>
          <w:rFonts w:ascii="Arial" w:cs="Arial" w:eastAsia="Arial" w:hAnsi="Arial"/>
          <w:sz w:val="16"/>
          <w:szCs w:val="16"/>
          <w:color w:val="auto"/>
        </w:rPr>
        <w:t>Each Party agrees that it shall not use any of the Confidential Information of the other Party other than pursuant to and in accordance with the exercise of any of the licenses granted under this Agreement. Without limiting the generality of the foregoing, and save as otherwise permitted by the terms of this Agreement, neither Party shall use Confidential Information of the other Party:</w:t>
      </w:r>
    </w:p>
    <w:p>
      <w:pPr>
        <w:spacing w:after="0" w:line="54" w:lineRule="exact"/>
        <w:rPr>
          <w:sz w:val="20"/>
          <w:szCs w:val="20"/>
          <w:color w:val="auto"/>
        </w:rPr>
      </w:pPr>
    </w:p>
    <w:p>
      <w:pPr>
        <w:ind w:left="1740" w:right="20" w:hanging="543"/>
        <w:spacing w:after="0" w:line="277" w:lineRule="auto"/>
        <w:tabs>
          <w:tab w:leader="none" w:pos="17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the basis for any Patent application or as a reference for modifying existing Patents or creating any continuation, continuation in part, or extension of existing Patents; or</w:t>
      </w:r>
    </w:p>
    <w:p>
      <w:pPr>
        <w:spacing w:after="0" w:line="75" w:lineRule="exact"/>
        <w:rPr>
          <w:rFonts w:ascii="Arial" w:cs="Arial" w:eastAsia="Arial" w:hAnsi="Arial"/>
          <w:sz w:val="18"/>
          <w:szCs w:val="18"/>
          <w:color w:val="auto"/>
        </w:rPr>
      </w:pPr>
    </w:p>
    <w:p>
      <w:pPr>
        <w:jc w:val="both"/>
        <w:ind w:left="1740" w:right="180" w:hanging="543"/>
        <w:spacing w:after="0" w:line="263" w:lineRule="auto"/>
        <w:tabs>
          <w:tab w:leader="none" w:pos="17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for generating data for publication or disclosure to third parties, which compares the performance or functionality of the JVCo Licensed Products with any other products created by a Party or a third party, without obtaining the other Party’s prior written consent.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Excepted Information</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35.4.1</w:t>
      </w:r>
      <w:r>
        <w:rPr>
          <w:sz w:val="20"/>
          <w:szCs w:val="20"/>
          <w:color w:val="auto"/>
        </w:rPr>
        <w:tab/>
      </w:r>
      <w:r>
        <w:rPr>
          <w:rFonts w:ascii="Arial" w:cs="Arial" w:eastAsia="Arial" w:hAnsi="Arial"/>
          <w:sz w:val="16"/>
          <w:szCs w:val="16"/>
          <w:color w:val="auto"/>
        </w:rPr>
        <w:t>The provisions of this Clause 35 shall not apply to information which:</w:t>
      </w:r>
    </w:p>
    <w:p>
      <w:pPr>
        <w:spacing w:after="0" w:line="131" w:lineRule="exact"/>
        <w:rPr>
          <w:sz w:val="20"/>
          <w:szCs w:val="20"/>
          <w:color w:val="auto"/>
        </w:rPr>
      </w:pPr>
    </w:p>
    <w:p>
      <w:pPr>
        <w:ind w:left="1740" w:right="240" w:hanging="543"/>
        <w:spacing w:after="0" w:line="277" w:lineRule="auto"/>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known to and has been reduced to tangible form by the receiving Party prior to its receipt provided that such information is not already subject to any obligations of confidentiality;</w:t>
      </w:r>
    </w:p>
    <w:p>
      <w:pPr>
        <w:spacing w:after="0" w:line="75" w:lineRule="exact"/>
        <w:rPr>
          <w:rFonts w:ascii="Arial" w:cs="Arial" w:eastAsia="Arial" w:hAnsi="Arial"/>
          <w:sz w:val="18"/>
          <w:szCs w:val="18"/>
          <w:color w:val="auto"/>
        </w:rPr>
      </w:pPr>
    </w:p>
    <w:p>
      <w:pPr>
        <w:ind w:left="1740" w:right="300" w:hanging="543"/>
        <w:spacing w:after="0" w:line="277" w:lineRule="auto"/>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in the public domain at the time of receipt or later becomes part of the public domain without breach of the confidentiality obligations in this Agreement (or by any Downstream Affiliates);</w:t>
      </w:r>
    </w:p>
    <w:p>
      <w:pPr>
        <w:spacing w:after="0" w:line="75" w:lineRule="exact"/>
        <w:rPr>
          <w:rFonts w:ascii="Arial" w:cs="Arial" w:eastAsia="Arial" w:hAnsi="Arial"/>
          <w:sz w:val="18"/>
          <w:szCs w:val="18"/>
          <w:color w:val="auto"/>
        </w:rPr>
      </w:pPr>
    </w:p>
    <w:p>
      <w:pPr>
        <w:ind w:left="1740" w:right="300" w:hanging="543"/>
        <w:spacing w:after="0" w:line="277" w:lineRule="auto"/>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received from a third party without any breach of any obligation of confidentiality in respect of such information provided that such information is not subject to any continuing obligations of confidentiality;</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is Confidential Information of a Party that is identified by that Party as exempt from these disclosure obligations;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381" w:name="page382"/>
    <w:bookmarkEnd w:id="381"/>
    <w:p>
      <w:pPr>
        <w:ind w:left="1744" w:hanging="543"/>
        <w:spacing w:after="0"/>
        <w:tabs>
          <w:tab w:leader="none" w:pos="1744"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Confidential Information of JVCo or its Downstream Affiliates and is provided to ARM by Feedback.</w:t>
      </w:r>
    </w:p>
    <w:p>
      <w:pPr>
        <w:spacing w:after="0" w:line="131"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35.5</w:t>
        <w:tab/>
        <w:t>The restrictions contained in this Clause 35 shall continue to apply after the expiry or termination of this Agreement without limit in time for so long as such information remains confidential.</w:t>
      </w:r>
    </w:p>
    <w:p>
      <w:pPr>
        <w:spacing w:after="0" w:line="315" w:lineRule="exact"/>
        <w:rPr>
          <w:sz w:val="20"/>
          <w:szCs w:val="20"/>
          <w:color w:val="auto"/>
        </w:rPr>
      </w:pPr>
    </w:p>
    <w:p>
      <w:pPr>
        <w:ind w:left="544" w:hanging="544"/>
        <w:spacing w:after="0"/>
        <w:tabs>
          <w:tab w:leader="none" w:pos="544"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ANTI-CORRUPTION</w:t>
      </w:r>
    </w:p>
    <w:p>
      <w:pPr>
        <w:spacing w:after="0" w:line="135" w:lineRule="exact"/>
        <w:rPr>
          <w:sz w:val="20"/>
          <w:szCs w:val="20"/>
          <w:color w:val="auto"/>
        </w:rPr>
      </w:pPr>
    </w:p>
    <w:p>
      <w:pPr>
        <w:ind w:left="544" w:hanging="539"/>
        <w:spacing w:after="0" w:line="257" w:lineRule="auto"/>
        <w:tabs>
          <w:tab w:leader="none" w:pos="524" w:val="left"/>
        </w:tabs>
        <w:rPr>
          <w:sz w:val="20"/>
          <w:szCs w:val="20"/>
          <w:color w:val="auto"/>
        </w:rPr>
      </w:pPr>
      <w:r>
        <w:rPr>
          <w:rFonts w:ascii="Arial" w:cs="Arial" w:eastAsia="Arial" w:hAnsi="Arial"/>
          <w:sz w:val="18"/>
          <w:szCs w:val="18"/>
          <w:color w:val="auto"/>
        </w:rPr>
        <w:t>36.1</w:t>
        <w:tab/>
        <w:t>Each Party undertakes that it will not, and will (to the extent within its powers) procure that its Associated Persons will not, engage in any activity, practice or conduct in connection with the operations of JVCo which would be in contravention of the Anti-Bribery and Anti-Corruption Policy (other than an immaterial contravention that is administrative in nature) or give rise to an offence under or non-compliance with any anti-bribery and anti-corruption laws, regulations or codes that may apply to JVCo, its Associated Persons or ARM or its Associated Persons from time to time.</w:t>
      </w:r>
    </w:p>
    <w:p>
      <w:pPr>
        <w:spacing w:after="0" w:line="93" w:lineRule="exact"/>
        <w:rPr>
          <w:sz w:val="20"/>
          <w:szCs w:val="20"/>
          <w:color w:val="auto"/>
        </w:rPr>
      </w:pPr>
    </w:p>
    <w:p>
      <w:pPr>
        <w:jc w:val="both"/>
        <w:ind w:left="544" w:right="260" w:hanging="539"/>
        <w:spacing w:after="0" w:line="286" w:lineRule="auto"/>
        <w:tabs>
          <w:tab w:leader="none" w:pos="524"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If either Party has reasonable cause to believe, based upon specific facts, that the other Party may be in violation of its undertakings in Clause 36.1, then the Party in question will at the reasonable request of the other Party, confirm in writing that it has complied with its undertaking in Clause 36.1, and will provide any information reasonably requested by the other Party in support of such compliance.</w:t>
      </w:r>
    </w:p>
    <w:p>
      <w:pPr>
        <w:spacing w:after="0" w:line="71" w:lineRule="exact"/>
        <w:rPr>
          <w:sz w:val="20"/>
          <w:szCs w:val="20"/>
          <w:color w:val="auto"/>
        </w:rPr>
      </w:pPr>
    </w:p>
    <w:p>
      <w:pPr>
        <w:jc w:val="both"/>
        <w:ind w:left="544" w:right="140" w:hanging="539"/>
        <w:spacing w:after="0" w:line="286" w:lineRule="auto"/>
        <w:tabs>
          <w:tab w:leader="none" w:pos="524"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7"/>
          <w:szCs w:val="17"/>
          <w:color w:val="auto"/>
        </w:rPr>
        <w:t>To the extent permitted by Applicable Law, each Party will indemnify and hold harmless the other Party (and: (i) in the case of ARM, members of the Enlarged ARM Group; and (ii) in the case of JVCo, members of the JVCo Group) from and against any and all claims, damages, losses, penalties, costs and expenses arising from or related to, any breach by that Party of its undertaking in Clause 36.1.</w:t>
      </w:r>
    </w:p>
    <w:p>
      <w:pPr>
        <w:spacing w:after="0" w:line="71" w:lineRule="exact"/>
        <w:rPr>
          <w:sz w:val="20"/>
          <w:szCs w:val="20"/>
          <w:color w:val="auto"/>
        </w:rPr>
      </w:pPr>
    </w:p>
    <w:p>
      <w:pPr>
        <w:ind w:left="544" w:right="260" w:hanging="539"/>
        <w:spacing w:after="0" w:line="286" w:lineRule="auto"/>
        <w:tabs>
          <w:tab w:leader="none" w:pos="524"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7"/>
          <w:szCs w:val="17"/>
          <w:color w:val="auto"/>
        </w:rPr>
        <w:t>JVCo shall investigate and remediate, to the extent necessary to ensure compliance with the Anti-Bribery and Anti-Corruption Policy and applicable anti-corruption and anti-bribery laws, allegations of non-compliance with such policies and laws with the assistance of an expert in such policies and laws, if necessary (and JVCo shall notify ARM of such allegations as soon as reasonably practicable).</w:t>
      </w:r>
    </w:p>
    <w:p>
      <w:pPr>
        <w:spacing w:after="0" w:line="310" w:lineRule="exact"/>
        <w:rPr>
          <w:sz w:val="20"/>
          <w:szCs w:val="20"/>
          <w:color w:val="auto"/>
        </w:rPr>
      </w:pPr>
    </w:p>
    <w:p>
      <w:pPr>
        <w:ind w:left="544" w:hanging="544"/>
        <w:spacing w:after="0"/>
        <w:tabs>
          <w:tab w:leader="none" w:pos="54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IP COMMITTEE</w:t>
      </w:r>
    </w:p>
    <w:p>
      <w:pPr>
        <w:spacing w:after="0" w:line="13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Arial" w:cs="Arial" w:eastAsia="Arial" w:hAnsi="Arial"/>
          <w:sz w:val="18"/>
          <w:szCs w:val="18"/>
          <w:color w:val="auto"/>
        </w:rPr>
        <w:t>37.1</w:t>
        <w:tab/>
        <w:t>On or around the Effective Date, each Party shall procure (to the extent within its power to do so) the establishment of an IP Committee (the “</w:t>
      </w:r>
      <w:r>
        <w:rPr>
          <w:rFonts w:ascii="Arial" w:cs="Arial" w:eastAsia="Arial" w:hAnsi="Arial"/>
          <w:sz w:val="18"/>
          <w:szCs w:val="18"/>
          <w:b w:val="1"/>
          <w:bCs w:val="1"/>
          <w:color w:val="auto"/>
        </w:rPr>
        <w:t>IP</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71" w:lineRule="exact"/>
        <w:rPr>
          <w:sz w:val="20"/>
          <w:szCs w:val="20"/>
          <w:color w:val="auto"/>
        </w:rPr>
      </w:pPr>
    </w:p>
    <w:p>
      <w:pPr>
        <w:ind w:left="544" w:right="200" w:hanging="539"/>
        <w:spacing w:after="0" w:line="279" w:lineRule="auto"/>
        <w:tabs>
          <w:tab w:leader="none" w:pos="524"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7"/>
          <w:szCs w:val="17"/>
          <w:color w:val="auto"/>
        </w:rPr>
        <w:t>The IP Committee shall be composed of [***] members, with [***] representatives from ARM and [***] representatives from JVCo, each of them being entitled to vote at the meeting of the IP Committee. Each Party shall be entitled at any time to appoint a replacement IP Committee representative with a [***] day prior notice to the other Party. A quorum shall exist at any meeting of the IP Committee if: (i) at least [***] representatives are present; and (ii) there are more representatives from ARM present than representatives from JVCo.</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382" w:name="page383"/>
    <w:bookmarkEnd w:id="382"/>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37.3</w:t>
        <w:tab/>
        <w:t>Each Party shall appoint one of its representatives of the IP Committee as an IP Liaison Officer for such Party and each IP Liaison Officer will support the tasks undertaken by the IP Committee.</w:t>
      </w:r>
    </w:p>
    <w:p>
      <w:pPr>
        <w:spacing w:after="0" w:line="76"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37.4</w:t>
        <w:tab/>
        <w:t>The IP Committee shall meet no less than [***] every [***] months (and may meet more frequently if agreed between the Parties) and the tasks undertaken by the IP Committee shall include the following tasks during each meeting:</w:t>
      </w:r>
    </w:p>
    <w:p>
      <w:pPr>
        <w:spacing w:after="0" w:line="76" w:lineRule="exact"/>
        <w:rPr>
          <w:sz w:val="20"/>
          <w:szCs w:val="20"/>
          <w:color w:val="auto"/>
        </w:rPr>
      </w:pPr>
    </w:p>
    <w:p>
      <w:pPr>
        <w:jc w:val="both"/>
        <w:ind w:left="1184" w:right="260" w:hanging="647"/>
        <w:spacing w:after="0" w:line="263" w:lineRule="auto"/>
        <w:tabs>
          <w:tab w:leader="none" w:pos="1164" w:val="left"/>
        </w:tabs>
        <w:rPr>
          <w:sz w:val="20"/>
          <w:szCs w:val="20"/>
          <w:color w:val="auto"/>
        </w:rPr>
      </w:pPr>
      <w:r>
        <w:rPr>
          <w:rFonts w:ascii="Arial" w:cs="Arial" w:eastAsia="Arial" w:hAnsi="Arial"/>
          <w:sz w:val="18"/>
          <w:szCs w:val="18"/>
          <w:color w:val="auto"/>
        </w:rPr>
        <w:t>37.4.1</w:t>
        <w:tab/>
        <w:t>ensuring that JVCo keeps updated lists and records of all JVCo Licensed IP (including: (i) where practicable, any third party IP that subsists in any Derivative Product or Independent Product; and (ii) a full bill of materials of Intellectual Property that subsists in any Derivative Product or Independent Product);</w:t>
      </w:r>
    </w:p>
    <w:p>
      <w:pPr>
        <w:spacing w:after="0" w:line="89" w:lineRule="exact"/>
        <w:rPr>
          <w:sz w:val="20"/>
          <w:szCs w:val="20"/>
          <w:color w:val="auto"/>
        </w:rPr>
      </w:pPr>
    </w:p>
    <w:p>
      <w:pPr>
        <w:ind w:left="1184" w:right="20" w:hanging="647"/>
        <w:spacing w:after="0" w:line="263" w:lineRule="auto"/>
        <w:tabs>
          <w:tab w:leader="none" w:pos="1164" w:val="left"/>
        </w:tabs>
        <w:rPr>
          <w:sz w:val="20"/>
          <w:szCs w:val="20"/>
          <w:color w:val="auto"/>
        </w:rPr>
      </w:pPr>
      <w:r>
        <w:rPr>
          <w:rFonts w:ascii="Arial" w:cs="Arial" w:eastAsia="Arial" w:hAnsi="Arial"/>
          <w:sz w:val="18"/>
          <w:szCs w:val="18"/>
          <w:color w:val="auto"/>
        </w:rPr>
        <w:t>37.4.2</w:t>
        <w:tab/>
        <w:t>ensuring that ARM keeps updated lists and records of all ARM Licensed IP (including (i) where practicable, any third party IP that subsists in any Original ARM Product and ARM Derivative Product; and (ii) a full bill of materials of Intellectual Property that subsists in any Original ARM Product or ARM Derivative Product);</w:t>
      </w:r>
    </w:p>
    <w:p>
      <w:pPr>
        <w:spacing w:after="0" w:line="89" w:lineRule="exact"/>
        <w:rPr>
          <w:sz w:val="20"/>
          <w:szCs w:val="20"/>
          <w:color w:val="auto"/>
        </w:rPr>
      </w:pPr>
    </w:p>
    <w:p>
      <w:pPr>
        <w:ind w:left="1184" w:right="800" w:hanging="647"/>
        <w:spacing w:after="0" w:line="342" w:lineRule="auto"/>
        <w:tabs>
          <w:tab w:leader="none" w:pos="1164" w:val="left"/>
        </w:tabs>
        <w:rPr>
          <w:sz w:val="20"/>
          <w:szCs w:val="20"/>
          <w:color w:val="auto"/>
        </w:rPr>
      </w:pPr>
      <w:r>
        <w:rPr>
          <w:rFonts w:ascii="Arial" w:cs="Arial" w:eastAsia="Arial" w:hAnsi="Arial"/>
          <w:sz w:val="18"/>
          <w:szCs w:val="18"/>
          <w:color w:val="auto"/>
        </w:rPr>
        <w:t>37.4.3</w:t>
      </w:r>
      <w:r>
        <w:rPr>
          <w:sz w:val="20"/>
          <w:szCs w:val="20"/>
          <w:color w:val="auto"/>
        </w:rPr>
        <w:tab/>
      </w:r>
      <w:r>
        <w:rPr>
          <w:rFonts w:ascii="Arial" w:cs="Arial" w:eastAsia="Arial" w:hAnsi="Arial"/>
          <w:sz w:val="16"/>
          <w:szCs w:val="16"/>
          <w:color w:val="auto"/>
        </w:rPr>
        <w:t>making decisions as to how to protect and secure the Foreground IP, including decisions regarding the filing, registration and maintenance of Foreground IP (save for Intellectual Property rights exclusively subsisting in the Independent Products);</w:t>
      </w:r>
    </w:p>
    <w:p>
      <w:pPr>
        <w:spacing w:after="0" w:line="29"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37.4.4</w:t>
        <w:tab/>
        <w:t>to the extent permissible under Applicable Law, providing updates regarding JVCo’s licensing activities with respect to JVCo Licensed Products (save for Independent Products);</w:t>
      </w:r>
    </w:p>
    <w:p>
      <w:pPr>
        <w:spacing w:after="0" w:line="76" w:lineRule="exact"/>
        <w:rPr>
          <w:sz w:val="20"/>
          <w:szCs w:val="20"/>
          <w:color w:val="auto"/>
        </w:rPr>
      </w:pPr>
    </w:p>
    <w:p>
      <w:pPr>
        <w:ind w:left="1184" w:right="60" w:hanging="647"/>
        <w:spacing w:after="0" w:line="277" w:lineRule="auto"/>
        <w:tabs>
          <w:tab w:leader="none" w:pos="1164" w:val="left"/>
        </w:tabs>
        <w:rPr>
          <w:sz w:val="20"/>
          <w:szCs w:val="20"/>
          <w:color w:val="auto"/>
        </w:rPr>
      </w:pPr>
      <w:r>
        <w:rPr>
          <w:rFonts w:ascii="Arial" w:cs="Arial" w:eastAsia="Arial" w:hAnsi="Arial"/>
          <w:sz w:val="18"/>
          <w:szCs w:val="18"/>
          <w:color w:val="auto"/>
        </w:rPr>
        <w:t>37.4.5</w:t>
        <w:tab/>
        <w:t>to the extent permissible under Applicable Law, providing updates regarding ARM’s licensing activities with respect to JVCo Licensed Products (save for Original ARM Products);</w:t>
      </w:r>
    </w:p>
    <w:p>
      <w:pPr>
        <w:spacing w:after="0" w:line="76" w:lineRule="exact"/>
        <w:rPr>
          <w:sz w:val="20"/>
          <w:szCs w:val="20"/>
          <w:color w:val="auto"/>
        </w:rPr>
      </w:pPr>
    </w:p>
    <w:p>
      <w:pPr>
        <w:ind w:left="1184" w:right="100" w:hanging="647"/>
        <w:spacing w:after="0" w:line="259" w:lineRule="auto"/>
        <w:tabs>
          <w:tab w:leader="none" w:pos="1164" w:val="left"/>
        </w:tabs>
        <w:rPr>
          <w:sz w:val="20"/>
          <w:szCs w:val="20"/>
          <w:color w:val="auto"/>
        </w:rPr>
      </w:pPr>
      <w:r>
        <w:rPr>
          <w:rFonts w:ascii="Arial" w:cs="Arial" w:eastAsia="Arial" w:hAnsi="Arial"/>
          <w:sz w:val="18"/>
          <w:szCs w:val="18"/>
          <w:color w:val="auto"/>
        </w:rPr>
        <w:t>37.4.6</w:t>
        <w:tab/>
        <w:t>notifying and providing updates regarding the management of any claims, actions or proceedings initiated by or against ARM or JVCo in relation to the infringement of any ARM Licensed IP and/or Foreground IP or the infringement of any third party Intellectual Property by any JVCo Licensed Product (including with respect to the arguments being made in relation to the defence of any JVCo Licensed Product against any allegation of third party infringement); and</w:t>
      </w:r>
    </w:p>
    <w:p>
      <w:pPr>
        <w:spacing w:after="0" w:line="92"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37.4.7</w:t>
      </w:r>
      <w:r>
        <w:rPr>
          <w:sz w:val="20"/>
          <w:szCs w:val="20"/>
          <w:color w:val="auto"/>
        </w:rPr>
        <w:tab/>
      </w:r>
      <w:r>
        <w:rPr>
          <w:rFonts w:ascii="Arial" w:cs="Arial" w:eastAsia="Arial" w:hAnsi="Arial"/>
          <w:sz w:val="16"/>
          <w:szCs w:val="16"/>
          <w:color w:val="auto"/>
        </w:rPr>
        <w:t>providing updates with respect to ARM’s licensing activities that fall within the scope of Clause 7.1.3.</w:t>
      </w:r>
    </w:p>
    <w:p>
      <w:pPr>
        <w:spacing w:after="0" w:line="370" w:lineRule="exact"/>
        <w:rPr>
          <w:sz w:val="20"/>
          <w:szCs w:val="20"/>
          <w:color w:val="auto"/>
        </w:rPr>
      </w:pPr>
    </w:p>
    <w:p>
      <w:pPr>
        <w:ind w:left="544" w:hanging="544"/>
        <w:spacing w:after="0"/>
        <w:tabs>
          <w:tab w:leader="none" w:pos="54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MUTUAL ROADMAP, ROADMAP COMMITTEE AND PRODUCT DEVELOPMENT</w:t>
      </w:r>
    </w:p>
    <w:p>
      <w:pPr>
        <w:spacing w:after="0" w:line="135" w:lineRule="exact"/>
        <w:rPr>
          <w:sz w:val="20"/>
          <w:szCs w:val="20"/>
          <w:color w:val="auto"/>
        </w:rPr>
      </w:pPr>
    </w:p>
    <w:p>
      <w:pPr>
        <w:ind w:left="544" w:hanging="539"/>
        <w:spacing w:after="0" w:line="291" w:lineRule="auto"/>
        <w:tabs>
          <w:tab w:leader="none" w:pos="524"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On or around the Effective Date, each Party shall procure (to the extent within its power to do so) the establishment of a roadmap committee (the “</w:t>
      </w:r>
      <w:r>
        <w:rPr>
          <w:rFonts w:ascii="Arial" w:cs="Arial" w:eastAsia="Arial" w:hAnsi="Arial"/>
          <w:sz w:val="16"/>
          <w:szCs w:val="16"/>
          <w:b w:val="1"/>
          <w:bCs w:val="1"/>
          <w:color w:val="auto"/>
        </w:rPr>
        <w:t>Roadmap Committee</w:t>
      </w:r>
      <w:r>
        <w:rPr>
          <w:rFonts w:ascii="Arial" w:cs="Arial" w:eastAsia="Arial" w:hAnsi="Arial"/>
          <w:sz w:val="16"/>
          <w:szCs w:val="16"/>
          <w:color w:val="auto"/>
        </w:rPr>
        <w:t>”). The Roadmap Committee shall consist of [***] members, of which [***] members shall be appointed by JVCo and</w:t>
      </w:r>
    </w:p>
    <w:p>
      <w:pPr>
        <w:ind w:left="544" w:hanging="4"/>
        <w:spacing w:after="0" w:line="260" w:lineRule="auto"/>
        <w:tabs>
          <w:tab w:leader="none" w:pos="97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members shall be appointed by ARM. Each of JVCo and ARM shall be entitled at any time to remove and appoint a replacement Roadmap Committee representative with [***] Business Days’ prior written notice to the other.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4"/>
          </w:cols>
          <w:pgMar w:left="436" w:top="274" w:right="479" w:bottom="1440" w:gutter="0" w:footer="0" w:header="0"/>
        </w:sectPr>
      </w:pPr>
    </w:p>
    <w:bookmarkStart w:id="383" w:name="page384"/>
    <w:bookmarkEnd w:id="383"/>
    <w:p>
      <w:pPr>
        <w:ind w:left="500" w:right="280" w:hanging="539"/>
        <w:spacing w:after="0" w:line="277"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38.2</w:t>
        <w:tab/>
        <w:t>The Roadmap Committee shall, unless otherwise agreed by ARM and JVCo meet no less than once every [***] months. The agenda for each meeting of the Roadmap Committee shall include the following:</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Product development</w:t>
      </w:r>
    </w:p>
    <w:p>
      <w:pPr>
        <w:spacing w:after="0" w:line="131" w:lineRule="exact"/>
        <w:rPr>
          <w:sz w:val="20"/>
          <w:szCs w:val="20"/>
          <w:color w:val="auto"/>
        </w:rPr>
      </w:pPr>
    </w:p>
    <w:p>
      <w:pPr>
        <w:ind w:left="1140" w:right="400" w:hanging="644"/>
        <w:spacing w:after="0" w:line="342" w:lineRule="auto"/>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discussing any new Original ARM Product, Derivative Product, Independent Product or ARM Derivative Product that has reached “Concept” stage (or such equivalent milestone defined in the Product Lifecycle Management Requirements, from time to time);</w:t>
      </w:r>
    </w:p>
    <w:p>
      <w:pPr>
        <w:spacing w:after="0" w:line="29" w:lineRule="exact"/>
        <w:rPr>
          <w:rFonts w:ascii="Arial" w:cs="Arial" w:eastAsia="Arial" w:hAnsi="Arial"/>
          <w:sz w:val="16"/>
          <w:szCs w:val="16"/>
          <w:color w:val="auto"/>
        </w:rPr>
      </w:pPr>
    </w:p>
    <w:p>
      <w:pPr>
        <w:ind w:left="1140" w:hanging="644"/>
        <w:spacing w:after="0" w:line="259" w:lineRule="auto"/>
        <w:tabs>
          <w:tab w:leader="none" w:pos="11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deciding whether JVCo is permitted to create or use any Derivative Product by modifying any source code that subsists in an Original ARM Product or an ARM Derivative Product (and, for the avoidance of doubt, in the absence of unanimous agreement to the contrary, JVCo shall not be permitted to create any Derivative Product by modification of source code that subsists in any Original ARM Product or any ARM Derivative Product);</w:t>
      </w:r>
    </w:p>
    <w:p>
      <w:pPr>
        <w:spacing w:after="0" w:line="92" w:lineRule="exact"/>
        <w:rPr>
          <w:rFonts w:ascii="Arial" w:cs="Arial" w:eastAsia="Arial" w:hAnsi="Arial"/>
          <w:sz w:val="18"/>
          <w:szCs w:val="18"/>
          <w:color w:val="auto"/>
        </w:rPr>
      </w:pPr>
    </w:p>
    <w:p>
      <w:pPr>
        <w:ind w:left="1140" w:hanging="644"/>
        <w:spacing w:after="0"/>
        <w:tabs>
          <w:tab w:leader="none" w:pos="11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communicating likely updates to dates of Release or product specifications in respect of a JVCo Licensed Product;</w:t>
      </w:r>
    </w:p>
    <w:p>
      <w:pPr>
        <w:spacing w:after="0" w:line="130" w:lineRule="exact"/>
        <w:rPr>
          <w:rFonts w:ascii="Arial" w:cs="Arial" w:eastAsia="Arial" w:hAnsi="Arial"/>
          <w:sz w:val="18"/>
          <w:szCs w:val="18"/>
          <w:color w:val="auto"/>
        </w:rPr>
      </w:pPr>
    </w:p>
    <w:p>
      <w:pPr>
        <w:ind w:left="1140" w:right="100" w:hanging="644"/>
        <w:spacing w:after="0" w:line="308" w:lineRule="auto"/>
        <w:tabs>
          <w:tab w:leader="none" w:pos="11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communicating feedback received by ARM or JVCo in relation to the Mutual Roadmap, including from PRC Licensees (provided that each of ARM and JVCo retains sole discretion as to whether to communicate such feedback to the other Party);</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Classification of Derivative Products</w:t>
      </w:r>
    </w:p>
    <w:p>
      <w:pPr>
        <w:spacing w:after="0" w:line="131" w:lineRule="exact"/>
        <w:rPr>
          <w:sz w:val="20"/>
          <w:szCs w:val="20"/>
          <w:color w:val="auto"/>
        </w:rPr>
      </w:pPr>
    </w:p>
    <w:p>
      <w:pPr>
        <w:ind w:left="1140" w:right="80" w:hanging="644"/>
        <w:spacing w:after="0" w:line="286" w:lineRule="auto"/>
        <w:tabs>
          <w:tab w:leader="none" w:pos="11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deciding whether a Derivative Product proposed by JVCo shall be a Mutual Roadmap Derivative Product and how and when Mutual Roadmap Derivative Products shall be included on the Mutual Roadmap (and, for the avoidance of doubt, in the absence of unanimous agreement to the contrary, each Derivative Product shall be deemed to be an Other Derivative Product);</w:t>
      </w:r>
    </w:p>
    <w:p>
      <w:pPr>
        <w:spacing w:after="0" w:line="70" w:lineRule="exact"/>
        <w:rPr>
          <w:rFonts w:ascii="Arial" w:cs="Arial" w:eastAsia="Arial" w:hAnsi="Arial"/>
          <w:sz w:val="17"/>
          <w:szCs w:val="17"/>
          <w:color w:val="auto"/>
        </w:rPr>
      </w:pPr>
    </w:p>
    <w:p>
      <w:pPr>
        <w:ind w:left="1140" w:hanging="644"/>
        <w:spacing w:after="0"/>
        <w:tabs>
          <w:tab w:leader="none" w:pos="11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assessing whether any Derivative Product should be declared as being Obsolete Technology;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Pricing and licensing of Derivative Products</w:t>
      </w:r>
    </w:p>
    <w:p>
      <w:pPr>
        <w:spacing w:after="0" w:line="131" w:lineRule="exact"/>
        <w:rPr>
          <w:sz w:val="20"/>
          <w:szCs w:val="20"/>
          <w:color w:val="auto"/>
        </w:rPr>
      </w:pPr>
    </w:p>
    <w:p>
      <w:pPr>
        <w:ind w:left="1140" w:right="320" w:hanging="644"/>
        <w:spacing w:after="0" w:line="277" w:lineRule="auto"/>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approving the form of the ARM Model License for each Derivative Product (including, for the avoidance of doubt, for Architecture Compliant Cores);</w:t>
      </w:r>
    </w:p>
    <w:p>
      <w:pPr>
        <w:spacing w:after="0" w:line="75" w:lineRule="exact"/>
        <w:rPr>
          <w:rFonts w:ascii="Arial" w:cs="Arial" w:eastAsia="Arial" w:hAnsi="Arial"/>
          <w:sz w:val="18"/>
          <w:szCs w:val="18"/>
          <w:color w:val="auto"/>
        </w:rPr>
      </w:pPr>
    </w:p>
    <w:p>
      <w:pPr>
        <w:ind w:left="1140" w:right="240" w:hanging="644"/>
        <w:spacing w:after="0" w:line="277" w:lineRule="auto"/>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approving the license fee amount and royalty rate proposed by ARM for inclusion in the ARM-JVCo Price Book for each Derivative Product;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40"/>
          </w:cols>
          <w:pgMar w:left="480" w:top="274" w:right="479" w:bottom="1440" w:gutter="0" w:footer="0" w:header="0"/>
        </w:sectPr>
      </w:pPr>
    </w:p>
    <w:bookmarkStart w:id="384" w:name="page385"/>
    <w:bookmarkEnd w:id="384"/>
    <w:p>
      <w:pPr>
        <w:ind w:left="1080" w:right="120" w:hanging="644"/>
        <w:spacing w:after="0" w:line="277"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assessing Derivative Exception Requests (for Derivative Products and ARM Derivative Products) in accordance with paragraph 10 of Schedule 2;</w:t>
      </w:r>
    </w:p>
    <w:p>
      <w:pPr>
        <w:spacing w:after="0" w:line="75" w:lineRule="exact"/>
        <w:rPr>
          <w:rFonts w:ascii="Arial" w:cs="Arial" w:eastAsia="Arial" w:hAnsi="Arial"/>
          <w:sz w:val="18"/>
          <w:szCs w:val="18"/>
          <w:color w:val="auto"/>
        </w:rPr>
      </w:pPr>
    </w:p>
    <w:p>
      <w:pPr>
        <w:ind w:left="1080" w:right="140" w:hanging="644"/>
        <w:spacing w:after="0" w:line="277"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agreeing upon Permitted Deviations and Licensing Exceptions to any ARM Model License for any Derivative Product (in the case of Licensing Exceptions, that are requested by JVCo or ARM for any such license with a licensee);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Pricing and licensing of ARM Derivative Products</w:t>
      </w:r>
    </w:p>
    <w:p>
      <w:pPr>
        <w:spacing w:after="0" w:line="131" w:lineRule="exact"/>
        <w:rPr>
          <w:sz w:val="20"/>
          <w:szCs w:val="20"/>
          <w:color w:val="auto"/>
        </w:rPr>
      </w:pPr>
    </w:p>
    <w:p>
      <w:pPr>
        <w:ind w:left="1080" w:hanging="644"/>
        <w:spacing w:after="0"/>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approving the form of the Applicable Model License for each ARM Derivative Product;</w:t>
      </w:r>
    </w:p>
    <w:p>
      <w:pPr>
        <w:spacing w:after="0" w:line="130" w:lineRule="exact"/>
        <w:rPr>
          <w:rFonts w:ascii="Arial" w:cs="Arial" w:eastAsia="Arial" w:hAnsi="Arial"/>
          <w:sz w:val="18"/>
          <w:szCs w:val="18"/>
          <w:color w:val="auto"/>
        </w:rPr>
      </w:pPr>
    </w:p>
    <w:p>
      <w:pPr>
        <w:ind w:left="1080" w:hanging="644"/>
        <w:spacing w:after="0"/>
        <w:tabs>
          <w:tab w:leader="none" w:pos="10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agreeing upon Permitted Deviations and Licensing Exceptions to any Applicable Model License for any ARM Derivative Product;</w:t>
      </w:r>
    </w:p>
    <w:p>
      <w:pPr>
        <w:spacing w:after="0" w:line="142" w:lineRule="exact"/>
        <w:rPr>
          <w:rFonts w:ascii="Arial" w:cs="Arial" w:eastAsia="Arial" w:hAnsi="Arial"/>
          <w:sz w:val="17"/>
          <w:szCs w:val="17"/>
          <w:color w:val="auto"/>
        </w:rPr>
      </w:pPr>
    </w:p>
    <w:p>
      <w:pPr>
        <w:jc w:val="both"/>
        <w:ind w:left="1080" w:hanging="644"/>
        <w:spacing w:after="0" w:line="263"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approving the license fee amount and royalty rate proposed by ARM (in the case of ARM Derivative Products derived from Derivative Products) or JVCo (in the case of ARM Derivative Products derived from Independent Products) for inclusion in the JVCo-ARM Price Book for each ARM Derivative Product;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Branding of Derivative Products</w:t>
      </w:r>
    </w:p>
    <w:p>
      <w:pPr>
        <w:spacing w:after="0" w:line="131" w:lineRule="exact"/>
        <w:rPr>
          <w:sz w:val="20"/>
          <w:szCs w:val="20"/>
          <w:color w:val="auto"/>
        </w:rPr>
      </w:pPr>
    </w:p>
    <w:p>
      <w:pPr>
        <w:ind w:left="1080" w:right="80" w:hanging="644"/>
        <w:spacing w:after="0" w:line="259"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deciding whether JVCo shall be entitled to use the ARM Brand Trade Marks with respect to the licensing of any Other Derivative Product (and, for the avoidance of doubt and as set out in Clause 9.2 of this Agreement, in the absence of unanimous agreement to the contrary, JVCo shall not use the ARM Brand Trade Marks to identify, market, promote, or otherwise in relation to the licensing of, Other Derivative Products or Independent Products); and</w:t>
      </w:r>
    </w:p>
    <w:p>
      <w:pPr>
        <w:spacing w:after="0" w:line="92" w:lineRule="exact"/>
        <w:rPr>
          <w:rFonts w:ascii="Arial" w:cs="Arial" w:eastAsia="Arial" w:hAnsi="Arial"/>
          <w:sz w:val="18"/>
          <w:szCs w:val="18"/>
          <w:color w:val="auto"/>
        </w:rPr>
      </w:pPr>
    </w:p>
    <w:p>
      <w:pPr>
        <w:ind w:left="1080" w:hanging="644"/>
        <w:spacing w:after="0"/>
        <w:tabs>
          <w:tab w:leader="none" w:pos="10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agreeing upon the product name and number that will be applied to any Derivative Product, in accordance with Clause 9.3.</w:t>
      </w:r>
    </w:p>
    <w:p>
      <w:pPr>
        <w:spacing w:after="0" w:line="142" w:lineRule="exact"/>
        <w:rPr>
          <w:sz w:val="20"/>
          <w:szCs w:val="20"/>
          <w:color w:val="auto"/>
        </w:rPr>
      </w:pPr>
    </w:p>
    <w:p>
      <w:pPr>
        <w:ind w:left="440" w:right="20" w:hanging="539"/>
        <w:spacing w:after="0" w:line="263" w:lineRule="auto"/>
        <w:tabs>
          <w:tab w:leader="none" w:pos="420" w:val="left"/>
        </w:tabs>
        <w:rPr>
          <w:sz w:val="20"/>
          <w:szCs w:val="20"/>
          <w:color w:val="auto"/>
        </w:rPr>
      </w:pPr>
      <w:r>
        <w:rPr>
          <w:rFonts w:ascii="Arial" w:cs="Arial" w:eastAsia="Arial" w:hAnsi="Arial"/>
          <w:sz w:val="18"/>
          <w:szCs w:val="18"/>
          <w:color w:val="auto"/>
        </w:rPr>
        <w:t>38.3</w:t>
        <w:tab/>
        <w:t>In order for a quorum to be present at any meeting of the Roadmap Committee, at least [***] members must be present (either in person or by telephone), [***] of which must be an ARM appointee and [***] of which must be a JVCo appointee. All decisions of the Roadmap Committee shall require unanimous consent of the members of the Roadmap Committee present.</w:t>
      </w:r>
    </w:p>
    <w:p>
      <w:pPr>
        <w:spacing w:after="0" w:line="89" w:lineRule="exact"/>
        <w:rPr>
          <w:sz w:val="20"/>
          <w:szCs w:val="20"/>
          <w:color w:val="auto"/>
        </w:rPr>
      </w:pPr>
    </w:p>
    <w:p>
      <w:pPr>
        <w:ind w:left="440" w:right="20" w:hanging="539"/>
        <w:spacing w:after="0" w:line="263" w:lineRule="auto"/>
        <w:tabs>
          <w:tab w:leader="none" w:pos="420" w:val="left"/>
        </w:tabs>
        <w:rPr>
          <w:sz w:val="20"/>
          <w:szCs w:val="20"/>
          <w:color w:val="auto"/>
        </w:rPr>
      </w:pPr>
      <w:r>
        <w:rPr>
          <w:rFonts w:ascii="Arial" w:cs="Arial" w:eastAsia="Arial" w:hAnsi="Arial"/>
          <w:sz w:val="18"/>
          <w:szCs w:val="18"/>
          <w:color w:val="auto"/>
        </w:rPr>
        <w:t>38.4</w:t>
        <w:tab/>
        <w:t>Promptly following the Effective Date, ARM shall provide to JVCo a copy of the Mutual Roadmap and shall, promptly following any update to the Mutual Roadmap, provide an updated copy to JVCo. Neither JVCo, ARM nor the Roadmap Committee shall have any authority to update the Mutual Roadmap unilaterally, provided that:</w:t>
      </w:r>
    </w:p>
    <w:p>
      <w:pPr>
        <w:spacing w:after="0" w:line="89"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38.4.1</w:t>
      </w:r>
      <w:r>
        <w:rPr>
          <w:sz w:val="20"/>
          <w:szCs w:val="20"/>
          <w:color w:val="auto"/>
        </w:rPr>
        <w:tab/>
      </w:r>
      <w:r>
        <w:rPr>
          <w:rFonts w:ascii="Arial" w:cs="Arial" w:eastAsia="Arial" w:hAnsi="Arial"/>
          <w:sz w:val="16"/>
          <w:szCs w:val="16"/>
          <w:color w:val="auto"/>
        </w:rPr>
        <w:t>ARM shall be required to update the Mutual Roadmap: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20"/>
          </w:cols>
          <w:pgMar w:left="540" w:top="274" w:right="539" w:bottom="1440" w:gutter="0" w:footer="0" w:header="0"/>
        </w:sectPr>
      </w:pPr>
    </w:p>
    <w:bookmarkStart w:id="385" w:name="page386"/>
    <w:bookmarkEnd w:id="385"/>
    <w:p>
      <w:pPr>
        <w:ind w:left="1744" w:right="140" w:hanging="543"/>
        <w:spacing w:after="0" w:line="277" w:lineRule="auto"/>
        <w:tabs>
          <w:tab w:leader="none" w:pos="1744"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request from the Roadmap Committee, to incorporate any Mutual Roadmap Derivative Product in the manner unanimously agreed by the Roadmap Committee; and</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on request from the Roadmap Committee, to remove any Mutual Roadmap Derivative Product from the Mutual Roadmap; and</w:t>
      </w:r>
    </w:p>
    <w:p>
      <w:pPr>
        <w:spacing w:after="0" w:line="154" w:lineRule="exact"/>
        <w:rPr>
          <w:sz w:val="20"/>
          <w:szCs w:val="20"/>
          <w:color w:val="auto"/>
        </w:rPr>
      </w:pPr>
    </w:p>
    <w:p>
      <w:pPr>
        <w:ind w:left="1184" w:right="80" w:hanging="647"/>
        <w:spacing w:after="0" w:line="277" w:lineRule="auto"/>
        <w:tabs>
          <w:tab w:leader="none" w:pos="1164" w:val="left"/>
        </w:tabs>
        <w:rPr>
          <w:sz w:val="20"/>
          <w:szCs w:val="20"/>
          <w:color w:val="auto"/>
        </w:rPr>
      </w:pPr>
      <w:r>
        <w:rPr>
          <w:rFonts w:ascii="Arial" w:cs="Arial" w:eastAsia="Arial" w:hAnsi="Arial"/>
          <w:sz w:val="18"/>
          <w:szCs w:val="18"/>
          <w:color w:val="auto"/>
        </w:rPr>
        <w:t>38.4.2</w:t>
        <w:tab/>
        <w:t>for the avoidance of doubt, ARM shall be permitted to update the Mutual Roadmap to add or remove (or amend any details relating to) any Original ARM Product from the Mutual Roadmap.</w:t>
      </w:r>
    </w:p>
    <w:p>
      <w:pPr>
        <w:spacing w:after="0" w:line="76" w:lineRule="exact"/>
        <w:rPr>
          <w:sz w:val="20"/>
          <w:szCs w:val="20"/>
          <w:color w:val="auto"/>
        </w:rPr>
      </w:pPr>
    </w:p>
    <w:p>
      <w:pPr>
        <w:jc w:val="both"/>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38.5</w:t>
        <w:tab/>
        <w:t>ARM or JVCo (as applicable) shall notify the other Party as soon as reasonably practicable if either ARM or JVCo becomes aware that the date of Release or the product specification in respect of an Original ARM Product or a Mutual Roadmap Derivative Product (as applicable) is likely to change.</w:t>
      </w:r>
    </w:p>
    <w:p>
      <w:pPr>
        <w:spacing w:after="0" w:line="89"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38.6</w:t>
        <w:tab/>
        <w:t>For the avoidance of doubt, the Roadmap Committee may elect to classify a Derivative Product as a Mutual Roadmap Derivative Product where that Derivative Product is used and licensed for certain market segments and/or applications (with the Derivative Product constituting an Other Derivative Product for all other purposes). In addition, where the Roadmap Committee agrees that a Derivative Product constitutes a Mutual Roadmap Derivative Product, that classification will only apply to that Derivative Product for so long as the specification of the product remains the same (in all material respects) as the specification described by JVCo to the Roadmap Committee at the time that the classification decision was made by the Roadmap Committee.</w:t>
      </w:r>
    </w:p>
    <w:p>
      <w:pPr>
        <w:spacing w:after="0" w:line="98" w:lineRule="exact"/>
        <w:rPr>
          <w:sz w:val="20"/>
          <w:szCs w:val="20"/>
          <w:color w:val="auto"/>
        </w:rPr>
      </w:pPr>
    </w:p>
    <w:p>
      <w:pPr>
        <w:ind w:left="544" w:hanging="539"/>
        <w:spacing w:after="0" w:line="271" w:lineRule="auto"/>
        <w:tabs>
          <w:tab w:leader="none" w:pos="524"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7"/>
          <w:szCs w:val="17"/>
          <w:color w:val="auto"/>
        </w:rPr>
        <w:t>When developing Derivative Products, JVCo shall adhere to the terminology and processes set out in the Product Lifecycle Management Requirements, the current draft of which is set forth in Schedule 5 (and which may be updated from time to time by written notice from ARM to JVCo). The Product Lifecycle Management Requirements shall be the same as ARM’s own internal product lifecycle management requirements. In addition, when developing Independent Products, JVCo shall reasonably inform ARM of how the management and terminology used in JVCo’s product lifecycle management in relation to that Independent Product may align with those Product Lifecycle Management Requirements by making reference to the terminology and processes set out in those Product Lifecycle Management Requirements and the Parties shall discuss and co-operate in good faith with respect to such alignment to enable ARM to assess and market such Independent Product to Non-PRC Licensees (if ARM so elects).</w:t>
      </w:r>
    </w:p>
    <w:p>
      <w:pPr>
        <w:spacing w:after="0" w:line="323" w:lineRule="exact"/>
        <w:rPr>
          <w:sz w:val="20"/>
          <w:szCs w:val="20"/>
          <w:color w:val="auto"/>
        </w:rPr>
      </w:pPr>
    </w:p>
    <w:p>
      <w:pPr>
        <w:ind w:left="544" w:hanging="544"/>
        <w:spacing w:after="0"/>
        <w:tabs>
          <w:tab w:leader="none" w:pos="54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p>
    <w:p>
      <w:pPr>
        <w:spacing w:after="0" w:line="135" w:lineRule="exact"/>
        <w:rPr>
          <w:sz w:val="20"/>
          <w:szCs w:val="20"/>
          <w:color w:val="auto"/>
        </w:rPr>
      </w:pPr>
    </w:p>
    <w:p>
      <w:pPr>
        <w:jc w:val="both"/>
        <w:ind w:left="544" w:right="380" w:hanging="539"/>
        <w:spacing w:after="0" w:line="263" w:lineRule="auto"/>
        <w:tabs>
          <w:tab w:leader="none" w:pos="524" w:val="left"/>
        </w:tabs>
        <w:rPr>
          <w:sz w:val="20"/>
          <w:szCs w:val="20"/>
          <w:color w:val="auto"/>
        </w:rPr>
      </w:pPr>
      <w:r>
        <w:rPr>
          <w:rFonts w:ascii="Arial" w:cs="Arial" w:eastAsia="Arial" w:hAnsi="Arial"/>
          <w:sz w:val="18"/>
          <w:szCs w:val="18"/>
          <w:color w:val="auto"/>
        </w:rPr>
        <w:t>39.1</w:t>
        <w:tab/>
        <w:t>Subject to Clause 39.2 below but otherwise notwithstanding any other provision of this Agreement (including where obligations refer to the Term), this Agreement and the licenses contained herein shall take effect upon the Effective Date and neither Party shall have any rights or obligations pursuant to this Agreement prior to the Effective Date.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Clauses 5.8 and 5.9 and the final sentence in each of Clauses 7.2.5 and 14.5.4 shall take effect upon the date of this Agreement.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4"/>
          </w:cols>
          <w:pgMar w:left="436" w:top="274" w:right="479" w:bottom="1440" w:gutter="0" w:footer="0" w:header="0"/>
        </w:sectPr>
      </w:pPr>
    </w:p>
    <w:bookmarkStart w:id="386" w:name="page387"/>
    <w:bookmarkEnd w:id="386"/>
    <w:p>
      <w:pPr>
        <w:ind w:left="544" w:right="320" w:hanging="539"/>
        <w:spacing w:after="0" w:line="30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39.3</w:t>
      </w:r>
      <w:r>
        <w:rPr>
          <w:sz w:val="20"/>
          <w:szCs w:val="20"/>
          <w:color w:val="auto"/>
        </w:rPr>
        <w:tab/>
      </w:r>
      <w:r>
        <w:rPr>
          <w:rFonts w:ascii="Arial" w:cs="Arial" w:eastAsia="Arial" w:hAnsi="Arial"/>
          <w:sz w:val="17"/>
          <w:szCs w:val="17"/>
          <w:color w:val="auto"/>
        </w:rPr>
        <w:t>ARM shall provide the list of entities for inclusion in Schedule 1 on or before the date of this Agreement. Subject to Clause 39.4, ARM shall ensure that the list of entities for inclusion in Schedule 1 includes all of the entities included in the Disclosed PRC Licensee List.</w:t>
      </w:r>
    </w:p>
    <w:p>
      <w:pPr>
        <w:spacing w:after="0" w:line="52" w:lineRule="exact"/>
        <w:rPr>
          <w:sz w:val="20"/>
          <w:szCs w:val="20"/>
          <w:color w:val="auto"/>
        </w:rPr>
      </w:pPr>
    </w:p>
    <w:p>
      <w:pPr>
        <w:jc w:val="both"/>
        <w:ind w:left="544" w:right="60" w:hanging="539"/>
        <w:spacing w:after="0" w:line="259" w:lineRule="auto"/>
        <w:tabs>
          <w:tab w:leader="none" w:pos="524" w:val="left"/>
        </w:tabs>
        <w:rPr>
          <w:sz w:val="20"/>
          <w:szCs w:val="20"/>
          <w:color w:val="auto"/>
        </w:rPr>
      </w:pPr>
      <w:r>
        <w:rPr>
          <w:rFonts w:ascii="Arial" w:cs="Arial" w:eastAsia="Arial" w:hAnsi="Arial"/>
          <w:sz w:val="18"/>
          <w:szCs w:val="18"/>
          <w:color w:val="auto"/>
        </w:rPr>
        <w:t>39.4</w:t>
        <w:tab/>
        <w:t>Where there is a change to an entity in the Disclosed PRC Licensee List between the date of the Investment Agreement and the Effective Date, the Parties shall, upon notification by either Party, discuss and agree upon any reclassification of that entity as if the regime set out at Clause 32 applied at that time (and, in the event of a reclassification of that entity as a Non-PRC Licensee, ARM shall not be required to include that entity in the list that is provided in accordance with Clause 39.3).</w:t>
      </w:r>
    </w:p>
    <w:p>
      <w:pPr>
        <w:spacing w:after="0" w:line="331" w:lineRule="exact"/>
        <w:rPr>
          <w:sz w:val="20"/>
          <w:szCs w:val="20"/>
          <w:color w:val="auto"/>
        </w:rPr>
      </w:pPr>
    </w:p>
    <w:p>
      <w:pPr>
        <w:ind w:left="544" w:hanging="544"/>
        <w:spacing w:after="0"/>
        <w:tabs>
          <w:tab w:leader="none" w:pos="544"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5" w:lineRule="exact"/>
        <w:rPr>
          <w:sz w:val="20"/>
          <w:szCs w:val="20"/>
          <w:color w:val="auto"/>
        </w:rPr>
      </w:pPr>
    </w:p>
    <w:p>
      <w:pPr>
        <w:ind w:left="544" w:right="220" w:hanging="539"/>
        <w:spacing w:after="0" w:line="259" w:lineRule="auto"/>
        <w:tabs>
          <w:tab w:leader="none" w:pos="524" w:val="left"/>
        </w:tabs>
        <w:rPr>
          <w:sz w:val="20"/>
          <w:szCs w:val="20"/>
          <w:color w:val="auto"/>
        </w:rPr>
      </w:pPr>
      <w:r>
        <w:rPr>
          <w:rFonts w:ascii="Arial" w:cs="Arial" w:eastAsia="Arial" w:hAnsi="Arial"/>
          <w:sz w:val="18"/>
          <w:szCs w:val="18"/>
          <w:color w:val="auto"/>
        </w:rPr>
        <w:t>40.1</w:t>
        <w:tab/>
        <w:t>The Parties shall make every effort to settle amicably any and all disputes, controversies, conflicts and claims arising out of or relating to or in connection with this Agreement or any transactions contemplated hereby, the performance or non-performance or timely performance of the obligations set forth herein or asserted breach of this Agreement (including any questions regarding its existence, validity, interpretation, enforceability or termination)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8" w:lineRule="exact"/>
        <w:rPr>
          <w:sz w:val="20"/>
          <w:szCs w:val="20"/>
          <w:color w:val="auto"/>
        </w:rPr>
      </w:pPr>
    </w:p>
    <w:p>
      <w:pPr>
        <w:ind w:left="544" w:right="340" w:hanging="539"/>
        <w:spacing w:after="0" w:line="282" w:lineRule="auto"/>
        <w:tabs>
          <w:tab w:leader="none" w:pos="524" w:val="left"/>
        </w:tabs>
        <w:rPr>
          <w:sz w:val="20"/>
          <w:szCs w:val="20"/>
          <w:color w:val="auto"/>
        </w:rPr>
      </w:pPr>
      <w:r>
        <w:rPr>
          <w:rFonts w:ascii="Arial" w:cs="Arial" w:eastAsia="Arial" w:hAnsi="Arial"/>
          <w:sz w:val="18"/>
          <w:szCs w:val="18"/>
          <w:color w:val="auto"/>
        </w:rPr>
        <w:t>40.2</w:t>
        <w:tab/>
        <w:t>Any Dispute between the Parties may be referred by written notice setting out brief details of the Dispute (a “</w:t>
      </w:r>
      <w:r>
        <w:rPr>
          <w:rFonts w:ascii="Arial" w:cs="Arial" w:eastAsia="Arial" w:hAnsi="Arial"/>
          <w:sz w:val="18"/>
          <w:szCs w:val="18"/>
          <w:b w:val="1"/>
          <w:bCs w:val="1"/>
          <w:color w:val="auto"/>
        </w:rPr>
        <w:t>Dispute Notice</w:t>
      </w:r>
      <w:r>
        <w:rPr>
          <w:rFonts w:ascii="Arial" w:cs="Arial" w:eastAsia="Arial" w:hAnsi="Arial"/>
          <w:sz w:val="18"/>
          <w:szCs w:val="18"/>
          <w:color w:val="auto"/>
        </w:rPr>
        <w:t>”) given by one Party to the other Party, to Senior Representatives of each Party.</w:t>
      </w:r>
    </w:p>
    <w:p>
      <w:pPr>
        <w:spacing w:after="0" w:line="71"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40.3</w:t>
        <w:tab/>
        <w:t>The Senior Representatives shall promptly meet to discuss in good faith the Dispute. In the event that the Senior Representatives do not amicably resolve the Dispute within [***] days of the date of dispatch of the Dispute Notice, the Dispute may then be referred by either Party to, and shall be finally and exclusively resolved by, arbitration in accordance with Clause 40.4. In the event that a Party reasonably considers that a discussion between Senior Representatives for up to [***] days before commencing arbitration pursuant to Clause 40.4 may have a material adverse impact on such Party or its business, it shall be entitled to immediately refer such Dispute to arbitration without the need for such discussion between Senior Representatives, provided that, prior to or simultaneous with such referral, it delivers a Dispute Notice to the other Parties informing them of such referral.</w:t>
      </w:r>
    </w:p>
    <w:p>
      <w:pPr>
        <w:spacing w:after="0" w:line="100" w:lineRule="exact"/>
        <w:rPr>
          <w:sz w:val="20"/>
          <w:szCs w:val="20"/>
          <w:color w:val="auto"/>
        </w:rPr>
      </w:pPr>
    </w:p>
    <w:p>
      <w:pPr>
        <w:ind w:left="544" w:right="40" w:hanging="539"/>
        <w:spacing w:after="0" w:line="296" w:lineRule="auto"/>
        <w:tabs>
          <w:tab w:leader="none" w:pos="524"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color w:val="auto"/>
        </w:rPr>
        <w:t>Subject to (i) the obligations in Clause 40.3 having been complied with, (ii) Clause 40.13, and (iii) the last sentence of Clause 40.5, any Dispute (subject to Clause 26.5, other than a Payment Dispute) may be referred by either Party by notice in writing to, and (if so referred) shall be finally and exclusively resolved by arbitration in Hong Kong under the Hong Kong International Arbitration Centre (the “</w:t>
      </w:r>
      <w:r>
        <w:rPr>
          <w:rFonts w:ascii="Arial" w:cs="Arial" w:eastAsia="Arial" w:hAnsi="Arial"/>
          <w:sz w:val="16"/>
          <w:szCs w:val="16"/>
          <w:b w:val="1"/>
          <w:bCs w:val="1"/>
          <w:color w:val="auto"/>
        </w:rPr>
        <w:t>HKIAC</w:t>
      </w:r>
      <w:r>
        <w:rPr>
          <w:rFonts w:ascii="Arial" w:cs="Arial" w:eastAsia="Arial" w:hAnsi="Arial"/>
          <w:sz w:val="16"/>
          <w:szCs w:val="16"/>
          <w:color w:val="auto"/>
        </w:rPr>
        <w:t>”) Administered Arbitration Rules then in force when the notice of arbitration is submitted to the HKIAC in accordance with those rules, as may be amended by the rest of this Clause 40 (such notice being the “</w:t>
      </w:r>
      <w:r>
        <w:rPr>
          <w:rFonts w:ascii="Arial" w:cs="Arial" w:eastAsia="Arial" w:hAnsi="Arial"/>
          <w:sz w:val="16"/>
          <w:szCs w:val="16"/>
          <w:b w:val="1"/>
          <w:bCs w:val="1"/>
          <w:color w:val="auto"/>
        </w:rPr>
        <w:t>Arbitration Referral Notice</w:t>
      </w:r>
      <w:r>
        <w:rPr>
          <w:rFonts w:ascii="Arial" w:cs="Arial" w:eastAsia="Arial" w:hAnsi="Arial"/>
          <w:sz w:val="16"/>
          <w:szCs w:val="16"/>
          <w:color w:val="auto"/>
        </w:rPr>
        <w:t>”), with a copy of such referral to the other Party.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4" w:right="459" w:bottom="1440" w:gutter="0" w:footer="0" w:header="0"/>
        </w:sectPr>
      </w:pPr>
    </w:p>
    <w:bookmarkStart w:id="387" w:name="page388"/>
    <w:bookmarkEnd w:id="387"/>
    <w:p>
      <w:pPr>
        <w:ind w:left="540" w:right="40" w:hanging="539"/>
        <w:spacing w:after="0" w:line="25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40.5</w:t>
        <w:tab/>
        <w:t>The seat, or legal place, of arbitration shall be Hong Kong. The language to be used in the arbitral proceeding shall be English. The arbitral award may include monetary relief, injunctive relief or both and shall be final and binding upon the parties and enforceable in accordance with its terms, and the Parties agree to comply with the arbitration award. Arbitration expenses shall be paid by the relevant Party/Parties as determined by the arbitral tribunal. If either Party needs to enforce an arbitral award by legal action of any kind, the Party/Parties against which such legal action is taken shall pay all reasonable costs and expenses and attorneys’ fees, including any cost of additional litigation or arbitration incurred by the Party/Parties seeking to enforce the award.</w:t>
      </w:r>
    </w:p>
    <w:p>
      <w:pPr>
        <w:spacing w:after="0" w:line="98" w:lineRule="exact"/>
        <w:rPr>
          <w:sz w:val="20"/>
          <w:szCs w:val="20"/>
          <w:color w:val="auto"/>
        </w:rPr>
      </w:pPr>
    </w:p>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color w:val="auto"/>
        </w:rPr>
        <w:t>The arbitration tribunal shall consist of three (3) arbitrators. The claimant(s), irrespective of number, shall nominate jointly one (1) arbitrator; the respondent(s), irrespective of number, shall nominate jointly one (1) arbitrator, and the third arbitrator shall be appointed by the HKIAC. The third arbitrator shall not be a citizen of the PRC or the UK. If either the claimant(s) or the respondent(s) fails to appoint an arbitrator within [***] days of the Arbitration Referral Notice having been dispatched the HKIAC shall appoint the arbitrator for and on behalf of such Party/Parties.</w:t>
      </w:r>
    </w:p>
    <w:p>
      <w:pPr>
        <w:spacing w:after="0" w:line="63" w:lineRule="exact"/>
        <w:rPr>
          <w:sz w:val="20"/>
          <w:szCs w:val="20"/>
          <w:color w:val="auto"/>
        </w:rPr>
      </w:pPr>
    </w:p>
    <w:p>
      <w:pPr>
        <w:ind w:left="540" w:right="780" w:hanging="539"/>
        <w:spacing w:after="0" w:line="277" w:lineRule="auto"/>
        <w:tabs>
          <w:tab w:leader="none" w:pos="520" w:val="left"/>
        </w:tabs>
        <w:rPr>
          <w:sz w:val="20"/>
          <w:szCs w:val="20"/>
          <w:color w:val="auto"/>
        </w:rPr>
      </w:pPr>
      <w:r>
        <w:rPr>
          <w:rFonts w:ascii="Arial" w:cs="Arial" w:eastAsia="Arial" w:hAnsi="Arial"/>
          <w:sz w:val="18"/>
          <w:szCs w:val="18"/>
          <w:color w:val="auto"/>
        </w:rPr>
        <w:t>40.7</w:t>
        <w:tab/>
        <w:t>During the course of any arbitration proceedings, all provisions of this Agreement shall, to the most feasible and practicable extent, be implemented continuously by the Parties.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6"/>
          <w:szCs w:val="16"/>
          <w:color w:val="auto"/>
        </w:rPr>
        <w:t>The Parties consent generally to:</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40.8.1</w:t>
      </w:r>
      <w:r>
        <w:rPr>
          <w:sz w:val="20"/>
          <w:szCs w:val="20"/>
          <w:color w:val="auto"/>
        </w:rPr>
        <w:tab/>
      </w:r>
      <w:r>
        <w:rPr>
          <w:rFonts w:ascii="Arial" w:cs="Arial" w:eastAsia="Arial" w:hAnsi="Arial"/>
          <w:sz w:val="16"/>
          <w:szCs w:val="16"/>
          <w:color w:val="auto"/>
        </w:rPr>
        <w:t>any submission to arbitration made in accordance with this Clause 40, or related legal action or proceeding;</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40.8.2</w:t>
      </w:r>
      <w:r>
        <w:rPr>
          <w:sz w:val="20"/>
          <w:szCs w:val="20"/>
          <w:color w:val="auto"/>
        </w:rPr>
        <w:tab/>
      </w:r>
      <w:r>
        <w:rPr>
          <w:rFonts w:ascii="Arial" w:cs="Arial" w:eastAsia="Arial" w:hAnsi="Arial"/>
          <w:sz w:val="16"/>
          <w:szCs w:val="16"/>
          <w:color w:val="auto"/>
        </w:rPr>
        <w:t>the giving of any interim and conservatory relief by any court of competent jurisdiction (including any temporary injunctive relief);</w:t>
      </w:r>
    </w:p>
    <w:p>
      <w:pPr>
        <w:spacing w:after="0" w:line="131" w:lineRule="exact"/>
        <w:rPr>
          <w:sz w:val="20"/>
          <w:szCs w:val="20"/>
          <w:color w:val="auto"/>
        </w:rPr>
      </w:pPr>
    </w:p>
    <w:p>
      <w:pPr>
        <w:ind w:left="1180" w:right="80" w:hanging="647"/>
        <w:spacing w:after="0" w:line="277" w:lineRule="auto"/>
        <w:tabs>
          <w:tab w:leader="none" w:pos="1160" w:val="left"/>
        </w:tabs>
        <w:rPr>
          <w:sz w:val="20"/>
          <w:szCs w:val="20"/>
          <w:color w:val="auto"/>
        </w:rPr>
      </w:pPr>
      <w:r>
        <w:rPr>
          <w:rFonts w:ascii="Arial" w:cs="Arial" w:eastAsia="Arial" w:hAnsi="Arial"/>
          <w:sz w:val="18"/>
          <w:szCs w:val="18"/>
          <w:color w:val="auto"/>
        </w:rPr>
        <w:t>40.8.3</w:t>
        <w:tab/>
        <w:t>the giving of any interim or permanent injunctive relief available under Applicable Law, by any court of competent jurisdiction, for the infringement of Intellectual Property; and</w:t>
      </w:r>
    </w:p>
    <w:p>
      <w:pPr>
        <w:spacing w:after="0" w:line="76" w:lineRule="exact"/>
        <w:rPr>
          <w:sz w:val="20"/>
          <w:szCs w:val="20"/>
          <w:color w:val="auto"/>
        </w:rPr>
      </w:pPr>
    </w:p>
    <w:p>
      <w:pPr>
        <w:ind w:left="1180" w:right="120" w:hanging="647"/>
        <w:spacing w:after="0" w:line="263" w:lineRule="auto"/>
        <w:tabs>
          <w:tab w:leader="none" w:pos="1160" w:val="left"/>
        </w:tabs>
        <w:rPr>
          <w:sz w:val="20"/>
          <w:szCs w:val="20"/>
          <w:color w:val="auto"/>
        </w:rPr>
      </w:pPr>
      <w:r>
        <w:rPr>
          <w:rFonts w:ascii="Arial" w:cs="Arial" w:eastAsia="Arial" w:hAnsi="Arial"/>
          <w:sz w:val="18"/>
          <w:szCs w:val="18"/>
          <w:color w:val="auto"/>
        </w:rPr>
        <w:t>40.8.4</w:t>
        <w:tab/>
        <w:t>the issue of any process in connection with such submission, action or proceeding, including the making, enforcement or execution against any property whatsoever (irrespective of its use or intended use) of any order, award or judgment which may be made or given in any such arbitration, action or proceeding,</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waives any objection that it may have to any such courts on the grounds of inconvenient forum.</w:t>
      </w:r>
    </w:p>
    <w:p>
      <w:pPr>
        <w:spacing w:after="0" w:line="131" w:lineRule="exact"/>
        <w:rPr>
          <w:sz w:val="20"/>
          <w:szCs w:val="20"/>
          <w:color w:val="auto"/>
        </w:rPr>
      </w:pPr>
    </w:p>
    <w:p>
      <w:pPr>
        <w:ind w:left="540" w:right="120" w:hanging="539"/>
        <w:spacing w:after="0" w:line="301" w:lineRule="auto"/>
        <w:tabs>
          <w:tab w:leader="none" w:pos="520"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6"/>
          <w:szCs w:val="16"/>
          <w:color w:val="auto"/>
        </w:rPr>
        <w:t>Any arbitration award shall be enforceable by any court or courts having jurisdiction over the Party/Parties against which the award has been rendered, or over the assets of the Party/Parties against which such award has been rendered, wherever such assets may be located. Such award shall be enforced, inter alia, in accordance with the New York Convention on the Recognition and Enforcement of Foreign Arbitral Awards and the Arrangement between the Mainland and the Hong Kong SAR on the Mutual Enforcement of Arbitral Awards.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440" w:top="274" w:right="479" w:bottom="1440" w:gutter="0" w:footer="0" w:header="0"/>
        </w:sectPr>
      </w:pPr>
    </w:p>
    <w:bookmarkStart w:id="388" w:name="page389"/>
    <w:bookmarkEnd w:id="388"/>
    <w:p>
      <w:pPr>
        <w:ind w:left="540" w:right="180" w:hanging="539"/>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40.10 Each Party acknowledges that it is a commercial entity that affords its shareholders with limited liability, is separate from (and with an identity separate from) its direct or indirect shareholders, is capable of suing and being sued and is entering into the transactions contemplated by this Agreement to which it is a party as private-law commercial transactions that shall not be deemed as being entered into in the exercise of any public function. The Parties agree to abide by and perform: (i) any decision issued by the arbitral tribunal constituted pursuant to Clause 40.5; and (ii) any judgment or order issued in any interim relief proceeding pursuant to Clause 40.8.</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40.11</w:t>
      </w:r>
      <w:r>
        <w:rPr>
          <w:sz w:val="20"/>
          <w:szCs w:val="20"/>
          <w:color w:val="auto"/>
        </w:rPr>
        <w:tab/>
      </w:r>
      <w:r>
        <w:rPr>
          <w:rFonts w:ascii="Arial" w:cs="Arial" w:eastAsia="Arial" w:hAnsi="Arial"/>
          <w:sz w:val="16"/>
          <w:szCs w:val="16"/>
          <w:color w:val="auto"/>
        </w:rPr>
        <w:t>Notwithstanding Clause 52, this Clause 40 shall be governed by the laws of Hong Kong.</w:t>
      </w:r>
    </w:p>
    <w:p>
      <w:pPr>
        <w:spacing w:after="0" w:line="131" w:lineRule="exact"/>
        <w:rPr>
          <w:sz w:val="20"/>
          <w:szCs w:val="20"/>
          <w:color w:val="auto"/>
        </w:rPr>
      </w:pPr>
    </w:p>
    <w:p>
      <w:pPr>
        <w:ind w:left="540" w:right="100" w:hanging="539"/>
        <w:spacing w:after="0" w:line="259" w:lineRule="auto"/>
        <w:rPr>
          <w:sz w:val="20"/>
          <w:szCs w:val="20"/>
          <w:color w:val="auto"/>
        </w:rPr>
      </w:pPr>
      <w:r>
        <w:rPr>
          <w:rFonts w:ascii="Arial" w:cs="Arial" w:eastAsia="Arial" w:hAnsi="Arial"/>
          <w:sz w:val="18"/>
          <w:szCs w:val="18"/>
          <w:color w:val="auto"/>
        </w:rPr>
        <w:t>40.12 The Parties undertake to keep confidential all awards in any arbitration, together with all materials in the proceedings created for the purpose of the arbitration and all other documents produced by another party in the proceedings not otherwise in the public domain, save to the extent that disclosure may be required of a party by legal duty, to protect or pursue a legal right or to enforce or challenge an award in legal proceedings before a court or other judicial authority.</w:t>
      </w:r>
    </w:p>
    <w:p>
      <w:pPr>
        <w:spacing w:after="0" w:line="92" w:lineRule="exact"/>
        <w:rPr>
          <w:sz w:val="20"/>
          <w:szCs w:val="20"/>
          <w:color w:val="auto"/>
        </w:rPr>
      </w:pPr>
    </w:p>
    <w:p>
      <w:pPr>
        <w:ind w:left="540" w:right="420" w:hanging="539"/>
        <w:spacing w:after="0" w:line="277" w:lineRule="auto"/>
        <w:rPr>
          <w:sz w:val="20"/>
          <w:szCs w:val="20"/>
          <w:color w:val="auto"/>
        </w:rPr>
      </w:pPr>
      <w:r>
        <w:rPr>
          <w:rFonts w:ascii="Arial" w:cs="Arial" w:eastAsia="Arial" w:hAnsi="Arial"/>
          <w:sz w:val="18"/>
          <w:szCs w:val="18"/>
          <w:color w:val="auto"/>
        </w:rPr>
        <w:t>40.13 Notwithstanding any other provision of this Agreement, nothing shall preclude either Party from applying for any preliminary or injunctive remedies available under Applicable Law in any forum for the infringement of Intellectual Property.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Disputes</w:t>
      </w:r>
    </w:p>
    <w:p>
      <w:pPr>
        <w:spacing w:after="0" w:line="135" w:lineRule="exact"/>
        <w:rPr>
          <w:sz w:val="20"/>
          <w:szCs w:val="20"/>
          <w:color w:val="auto"/>
        </w:rPr>
      </w:pPr>
    </w:p>
    <w:p>
      <w:pPr>
        <w:ind w:left="540" w:hanging="539"/>
        <w:spacing w:after="0" w:line="279" w:lineRule="auto"/>
        <w:rPr>
          <w:sz w:val="20"/>
          <w:szCs w:val="20"/>
          <w:color w:val="auto"/>
        </w:rPr>
      </w:pPr>
      <w:r>
        <w:rPr>
          <w:rFonts w:ascii="Arial" w:cs="Arial" w:eastAsia="Arial" w:hAnsi="Arial"/>
          <w:sz w:val="17"/>
          <w:szCs w:val="17"/>
          <w:color w:val="auto"/>
        </w:rPr>
        <w:t>40.14 The Parties acknowledge and agree that except where a Payment Dispute is referred to arbitration under Clause 26.5.1, Clauses 40.2 to 40.4 shall not apply to Payment Disputes and such disputes shall instead be escalated by the Parties in accordance with Clauses 26.4 and 26.5. Where the Senior Representatives (or their nominees) have been unable to resolve the Payment Dispute in accordance with Clause 26.5, and the Payment Dispute has not been referred to arbitration under Clause 26.5.1, Clause 40.15 shall apply.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40.15  The Payment Dispute shall be resolved as follows:</w:t>
      </w:r>
    </w:p>
    <w:p>
      <w:pPr>
        <w:spacing w:after="0" w:line="131" w:lineRule="exact"/>
        <w:rPr>
          <w:sz w:val="20"/>
          <w:szCs w:val="20"/>
          <w:color w:val="auto"/>
        </w:rPr>
      </w:pPr>
    </w:p>
    <w:p>
      <w:pPr>
        <w:ind w:left="1180" w:right="240" w:hanging="647"/>
        <w:spacing w:after="0" w:line="257" w:lineRule="auto"/>
        <w:rPr>
          <w:sz w:val="20"/>
          <w:szCs w:val="20"/>
          <w:color w:val="auto"/>
        </w:rPr>
      </w:pPr>
      <w:r>
        <w:rPr>
          <w:rFonts w:ascii="Arial" w:cs="Arial" w:eastAsia="Arial" w:hAnsi="Arial"/>
          <w:sz w:val="18"/>
          <w:szCs w:val="18"/>
          <w:color w:val="auto"/>
        </w:rPr>
        <w:t>40.15.1 the Parties shall jointly appoint, or (if the Parties cannot agree on such appointment) procure that the President of the Hong Kong Institute of Certified Public Accountants appoints, an Acceptable Accounting Firm (independent of the Parties) (the “</w:t>
      </w:r>
      <w:r>
        <w:rPr>
          <w:rFonts w:ascii="Arial" w:cs="Arial" w:eastAsia="Arial" w:hAnsi="Arial"/>
          <w:sz w:val="18"/>
          <w:szCs w:val="18"/>
          <w:b w:val="1"/>
          <w:bCs w:val="1"/>
          <w:color w:val="auto"/>
        </w:rPr>
        <w:t>Adjudicating</w:t>
      </w:r>
      <w:r>
        <w:rPr>
          <w:rFonts w:ascii="Arial" w:cs="Arial" w:eastAsia="Arial" w:hAnsi="Arial"/>
          <w:sz w:val="18"/>
          <w:szCs w:val="18"/>
          <w:color w:val="auto"/>
        </w:rPr>
        <w:t xml:space="preserve"> </w:t>
      </w:r>
      <w:r>
        <w:rPr>
          <w:rFonts w:ascii="Arial" w:cs="Arial" w:eastAsia="Arial" w:hAnsi="Arial"/>
          <w:sz w:val="18"/>
          <w:szCs w:val="18"/>
          <w:b w:val="1"/>
          <w:bCs w:val="1"/>
          <w:color w:val="auto"/>
        </w:rPr>
        <w:t>Firm</w:t>
      </w:r>
      <w:r>
        <w:rPr>
          <w:rFonts w:ascii="Arial" w:cs="Arial" w:eastAsia="Arial" w:hAnsi="Arial"/>
          <w:sz w:val="18"/>
          <w:szCs w:val="18"/>
          <w:color w:val="auto"/>
        </w:rPr>
        <w:t>”) as soon as practicable within [***] Business Days of the Payment Dispute Escalation Date and procure that the Adjudicating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provides an adjudication of the Payment Dispute as soon as practicable and in any event within [***] days of being appointed (such assessment being the “</w:t>
      </w:r>
      <w:r>
        <w:rPr>
          <w:rFonts w:ascii="Arial" w:cs="Arial" w:eastAsia="Arial" w:hAnsi="Arial"/>
          <w:sz w:val="18"/>
          <w:szCs w:val="18"/>
          <w:b w:val="1"/>
          <w:bCs w:val="1"/>
          <w:color w:val="auto"/>
        </w:rPr>
        <w:t>Adjudicating Firm’s Decision</w:t>
      </w:r>
      <w:r>
        <w:rPr>
          <w:rFonts w:ascii="Arial" w:cs="Arial" w:eastAsia="Arial" w:hAnsi="Arial"/>
          <w:sz w:val="18"/>
          <w:szCs w:val="18"/>
          <w:color w:val="auto"/>
        </w:rPr>
        <w:t>”);</w:t>
      </w:r>
    </w:p>
    <w:p>
      <w:pPr>
        <w:spacing w:after="0" w:line="93" w:lineRule="exact"/>
        <w:rPr>
          <w:sz w:val="20"/>
          <w:szCs w:val="20"/>
          <w:color w:val="auto"/>
        </w:rPr>
      </w:pPr>
    </w:p>
    <w:p>
      <w:pPr>
        <w:ind w:left="1180" w:right="260" w:hanging="647"/>
        <w:spacing w:after="0" w:line="277" w:lineRule="auto"/>
        <w:rPr>
          <w:sz w:val="20"/>
          <w:szCs w:val="20"/>
          <w:color w:val="auto"/>
        </w:rPr>
      </w:pPr>
      <w:r>
        <w:rPr>
          <w:rFonts w:ascii="Arial" w:cs="Arial" w:eastAsia="Arial" w:hAnsi="Arial"/>
          <w:sz w:val="18"/>
          <w:szCs w:val="18"/>
          <w:color w:val="auto"/>
        </w:rPr>
        <w:t>40.15.2 the Parties shall each promptly provide the Adjudicating Firm with all information reasonably requested by the Adjudicating Firm in order to make their decision within the periods contemplated by Clause 40.15.1;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4" w:right="479" w:bottom="1440" w:gutter="0" w:footer="0" w:header="0"/>
        </w:sectPr>
      </w:pPr>
    </w:p>
    <w:bookmarkStart w:id="389" w:name="page390"/>
    <w:bookmarkEnd w:id="389"/>
    <w:p>
      <w:pPr>
        <w:ind w:left="1184" w:right="160" w:hanging="647"/>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40.15.3 the costs and expenses of the Adjudicating Firm shall be paid by the Party against whom the Adjudicating Firm decides (or, where the Adjudicating Firm’s Decision falls between the respective positions of the Parties, the costs and expenses will be divided pro-rata between the Parties, according to the respective delta between a Party’s position and the resolved amount);</w:t>
      </w:r>
    </w:p>
    <w:p>
      <w:pPr>
        <w:spacing w:after="0" w:line="7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40.15.4 the Adjudicating Firm shall act as an expert and not an arbitrator; and</w:t>
      </w:r>
    </w:p>
    <w:p>
      <w:pPr>
        <w:spacing w:after="0" w:line="131" w:lineRule="exact"/>
        <w:rPr>
          <w:sz w:val="20"/>
          <w:szCs w:val="20"/>
          <w:color w:val="auto"/>
        </w:rPr>
      </w:pPr>
    </w:p>
    <w:p>
      <w:pPr>
        <w:ind w:left="1184" w:right="360" w:hanging="647"/>
        <w:spacing w:after="0" w:line="263" w:lineRule="auto"/>
        <w:rPr>
          <w:sz w:val="20"/>
          <w:szCs w:val="20"/>
          <w:color w:val="auto"/>
        </w:rPr>
      </w:pPr>
      <w:r>
        <w:rPr>
          <w:rFonts w:ascii="Arial" w:cs="Arial" w:eastAsia="Arial" w:hAnsi="Arial"/>
          <w:sz w:val="18"/>
          <w:szCs w:val="18"/>
          <w:color w:val="auto"/>
        </w:rPr>
        <w:t>40.15.5 save for fraud or manifest error, the Adjudicating Firm’s Decision shall be final and binding on the Parties as a determination of the Payment Dispute and, for the avoidance of doubt, Clauses 26.1 and 26.3 shall apply to the issuance and payment of any invoices following such resolution of the Payment Dispute.</w:t>
      </w:r>
    </w:p>
    <w:p>
      <w:pPr>
        <w:spacing w:after="0" w:line="328" w:lineRule="exact"/>
        <w:rPr>
          <w:sz w:val="20"/>
          <w:szCs w:val="20"/>
          <w:color w:val="auto"/>
        </w:rPr>
      </w:pPr>
    </w:p>
    <w:p>
      <w:pPr>
        <w:ind w:left="544" w:hanging="544"/>
        <w:spacing w:after="0"/>
        <w:tabs>
          <w:tab w:leader="none" w:pos="544"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35"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41.1</w:t>
        <w:tab/>
        <w:t>Subject to Clause 41.4, neither Party shall assign or otherwise transfer this Agreement or any of its rights and obligations hereunder whether in whole or in part without the prior written consent of the other Party.</w:t>
      </w:r>
    </w:p>
    <w:p>
      <w:pPr>
        <w:spacing w:after="0" w:line="76" w:lineRule="exact"/>
        <w:rPr>
          <w:sz w:val="20"/>
          <w:szCs w:val="20"/>
          <w:color w:val="auto"/>
        </w:rPr>
      </w:pPr>
    </w:p>
    <w:p>
      <w:pPr>
        <w:ind w:left="544" w:right="240" w:hanging="539"/>
        <w:spacing w:after="0" w:line="263" w:lineRule="auto"/>
        <w:tabs>
          <w:tab w:leader="none" w:pos="524" w:val="left"/>
        </w:tabs>
        <w:rPr>
          <w:sz w:val="20"/>
          <w:szCs w:val="20"/>
          <w:color w:val="auto"/>
        </w:rPr>
      </w:pPr>
      <w:r>
        <w:rPr>
          <w:rFonts w:ascii="Arial" w:cs="Arial" w:eastAsia="Arial" w:hAnsi="Arial"/>
          <w:sz w:val="18"/>
          <w:szCs w:val="18"/>
          <w:color w:val="auto"/>
        </w:rPr>
        <w:t>41.2</w:t>
        <w:tab/>
        <w:t>Subject to Clause 41.4, JVCo shall not assign or otherwise transfer any rights in the JVCo Licensed IP whether in whole or in part: (i) without the prior written consent of ARM; and (ii) without contractually requiring such assignment or transfer (and any subsequent assignment or transfer) be subject to the rights granted or owed to ARM under this Agreement.</w:t>
      </w:r>
    </w:p>
    <w:p>
      <w:pPr>
        <w:spacing w:after="0" w:line="89" w:lineRule="exact"/>
        <w:rPr>
          <w:sz w:val="20"/>
          <w:szCs w:val="20"/>
          <w:color w:val="auto"/>
        </w:rPr>
      </w:pPr>
    </w:p>
    <w:p>
      <w:pPr>
        <w:ind w:left="544" w:right="240" w:hanging="539"/>
        <w:spacing w:after="0" w:line="263" w:lineRule="auto"/>
        <w:tabs>
          <w:tab w:leader="none" w:pos="524" w:val="left"/>
        </w:tabs>
        <w:rPr>
          <w:sz w:val="20"/>
          <w:szCs w:val="20"/>
          <w:color w:val="auto"/>
        </w:rPr>
      </w:pPr>
      <w:r>
        <w:rPr>
          <w:rFonts w:ascii="Arial" w:cs="Arial" w:eastAsia="Arial" w:hAnsi="Arial"/>
          <w:sz w:val="18"/>
          <w:szCs w:val="18"/>
          <w:color w:val="auto"/>
        </w:rPr>
        <w:t>41.3</w:t>
        <w:tab/>
        <w:t>Subject to Clause 41.4, ARM shall not assign or otherwise transfer any rights in the ARM Licensed IP whether in whole or in part: (i) without the prior written consent of JVCo; and (ii) without contractually requiring such assignment or transfer (and any subsequent assignment or transfer) be subject to the rights granted or owed to JVCo under this Agreement.</w:t>
      </w:r>
    </w:p>
    <w:p>
      <w:pPr>
        <w:spacing w:after="0" w:line="89" w:lineRule="exact"/>
        <w:rPr>
          <w:sz w:val="20"/>
          <w:szCs w:val="20"/>
          <w:color w:val="auto"/>
        </w:rPr>
      </w:pPr>
    </w:p>
    <w:p>
      <w:pPr>
        <w:ind w:left="544" w:right="100" w:hanging="539"/>
        <w:spacing w:after="0" w:line="311" w:lineRule="auto"/>
        <w:tabs>
          <w:tab w:leader="none" w:pos="524"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Clauses 41.1 to 41.3 shall not apply to the transfer of rights by either Party in their Relevant Licensed IP as part of an intra-group reorganisation (which shall include, in the case of ARM, transfers within the Enlarged ARM Group), so long as such transfer will have no adverse impact on the assigning Party’s full performance and satisfaction of their obligations under this Agreement and the Co-ownership Deed.</w:t>
      </w:r>
    </w:p>
    <w:p>
      <w:pPr>
        <w:spacing w:after="0" w:line="293" w:lineRule="exact"/>
        <w:rPr>
          <w:sz w:val="20"/>
          <w:szCs w:val="20"/>
          <w:color w:val="auto"/>
        </w:rPr>
      </w:pPr>
    </w:p>
    <w:p>
      <w:pPr>
        <w:ind w:left="544" w:hanging="544"/>
        <w:spacing w:after="0"/>
        <w:tabs>
          <w:tab w:leader="none" w:pos="54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42.1</w:t>
        <w:tab/>
        <w:t>Neither Party will be liable to the other Party for any delay or non-performance of its obligations under this Agreement (excluding any obligation to pay any amounts to the other Party), arising from any Force Majeure Event provided that the affected Party:</w:t>
      </w:r>
    </w:p>
    <w:p>
      <w:pPr>
        <w:spacing w:after="0" w:line="76" w:lineRule="exact"/>
        <w:rPr>
          <w:sz w:val="20"/>
          <w:szCs w:val="20"/>
          <w:color w:val="auto"/>
        </w:rPr>
      </w:pPr>
    </w:p>
    <w:p>
      <w:pPr>
        <w:ind w:left="1184" w:right="260" w:hanging="647"/>
        <w:spacing w:after="0" w:line="308" w:lineRule="auto"/>
        <w:tabs>
          <w:tab w:leader="none" w:pos="1164" w:val="left"/>
        </w:tabs>
        <w:rPr>
          <w:sz w:val="20"/>
          <w:szCs w:val="20"/>
          <w:color w:val="auto"/>
        </w:rPr>
      </w:pPr>
      <w:r>
        <w:rPr>
          <w:rFonts w:ascii="Arial" w:cs="Arial" w:eastAsia="Arial" w:hAnsi="Arial"/>
          <w:sz w:val="18"/>
          <w:szCs w:val="18"/>
          <w:color w:val="auto"/>
        </w:rPr>
        <w:t>42.1.1</w:t>
      </w:r>
      <w:r>
        <w:rPr>
          <w:sz w:val="20"/>
          <w:szCs w:val="20"/>
          <w:color w:val="auto"/>
        </w:rPr>
        <w:tab/>
      </w:r>
      <w:r>
        <w:rPr>
          <w:rFonts w:ascii="Arial" w:cs="Arial" w:eastAsia="Arial" w:hAnsi="Arial"/>
          <w:sz w:val="17"/>
          <w:szCs w:val="17"/>
          <w:color w:val="auto"/>
        </w:rPr>
        <w:t>promptly (and in any event within [***] Business Days from the occurrence of such Force Majeure Event) notifies the other Party in writing of the cause of the delay or non-performance and the likely duration of the delay or non-performance; and</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4"/>
          </w:cols>
          <w:pgMar w:left="436" w:top="274" w:right="459" w:bottom="1440" w:gutter="0" w:footer="0" w:header="0"/>
        </w:sectPr>
      </w:pPr>
    </w:p>
    <w:bookmarkStart w:id="390" w:name="page391"/>
    <w:bookmarkEnd w:id="390"/>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42.1.2</w:t>
        <w:tab/>
        <w:t>uses reasonable endeavours to minimise the delay and limit the effect of that delay or non-performance on the other Party and to resume performance of all obligations after the impact of such Force Majeure Event is eliminated or reduced.</w:t>
      </w:r>
    </w:p>
    <w:p>
      <w:pPr>
        <w:spacing w:after="0" w:line="76"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42.2</w:t>
        <w:tab/>
        <w:t>In any such case, the performance of the affected Party’s obligations, to the extent affected by the Force Majeure Event, will be suspended during the period that the cause persists and the due date for performance thereof shall be automatically extended, without penalty under the Agreement, for a period equal to such suspension.</w:t>
      </w:r>
    </w:p>
    <w:p>
      <w:pPr>
        <w:spacing w:after="0" w:line="328" w:lineRule="exact"/>
        <w:rPr>
          <w:sz w:val="20"/>
          <w:szCs w:val="20"/>
          <w:color w:val="auto"/>
        </w:rPr>
      </w:pPr>
    </w:p>
    <w:p>
      <w:pPr>
        <w:ind w:left="544" w:hanging="544"/>
        <w:spacing w:after="0"/>
        <w:tabs>
          <w:tab w:leader="none" w:pos="54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No delay or omission by a Party in exercising any right, power or remedy provided by law or under this Agreement shall:</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43.1.1</w:t>
      </w:r>
      <w:r>
        <w:rPr>
          <w:sz w:val="20"/>
          <w:szCs w:val="20"/>
          <w:color w:val="auto"/>
        </w:rPr>
        <w:tab/>
      </w:r>
      <w:r>
        <w:rPr>
          <w:rFonts w:ascii="Arial" w:cs="Arial" w:eastAsia="Arial" w:hAnsi="Arial"/>
          <w:sz w:val="16"/>
          <w:szCs w:val="16"/>
          <w:color w:val="auto"/>
        </w:rPr>
        <w:t>impair such right, power or remedy;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43.1.2</w:t>
      </w:r>
      <w:r>
        <w:rPr>
          <w:sz w:val="20"/>
          <w:szCs w:val="20"/>
          <w:color w:val="auto"/>
        </w:rPr>
        <w:tab/>
      </w:r>
      <w:r>
        <w:rPr>
          <w:rFonts w:ascii="Arial" w:cs="Arial" w:eastAsia="Arial" w:hAnsi="Arial"/>
          <w:sz w:val="15"/>
          <w:szCs w:val="15"/>
          <w:color w:val="auto"/>
        </w:rPr>
        <w:t>operate as a waiver thereof.</w:t>
      </w:r>
    </w:p>
    <w:p>
      <w:pPr>
        <w:spacing w:after="0" w:line="131"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43.2</w:t>
        <w:tab/>
        <w:t>The single or partial exercise of any right, power or remedy provided by law or under this Agreement shall not preclude any other or further exercise thereof or the exercise of any other right, power or remedy.</w:t>
      </w:r>
    </w:p>
    <w:p>
      <w:pPr>
        <w:spacing w:after="0" w:line="76"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43.3</w:t>
        <w:tab/>
        <w:t>The rights, powers and remedies provided in this Agreement are cumulative and not exclusive of any rights, powers and remedies provided by law.</w:t>
      </w:r>
    </w:p>
    <w:p>
      <w:pPr>
        <w:spacing w:after="0" w:line="315" w:lineRule="exact"/>
        <w:rPr>
          <w:sz w:val="20"/>
          <w:szCs w:val="20"/>
          <w:color w:val="auto"/>
        </w:rPr>
      </w:pPr>
    </w:p>
    <w:p>
      <w:pPr>
        <w:ind w:left="544" w:hanging="544"/>
        <w:spacing w:after="0"/>
        <w:tabs>
          <w:tab w:leader="none" w:pos="54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44.1</w:t>
        <w:tab/>
        <w:t>A notice under this Agreement shall only be effective if it is in writing and in the English language and delivered by messenger, email (save for termination notices) or registered mail.</w:t>
      </w:r>
    </w:p>
    <w:p>
      <w:pPr>
        <w:spacing w:after="0" w:line="76"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44.2</w:t>
        <w:tab/>
        <w:t>Notices under this Agreement shall be sent to a Party at its address or email address and for the attention of the individual, in the case of ARM, set out below or, in the case of JVCo, notified by JVCo to ARM on or before the Effective Date: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391" w:name="page392"/>
    <w:bookmarkEnd w:id="391"/>
    <w:tbl>
      <w:tblPr>
        <w:tblLayout w:type="fixed"/>
        <w:tblInd w:w="4"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Party</w:t>
            </w:r>
          </w:p>
        </w:tc>
        <w:tc>
          <w:tcPr>
            <w:tcW w:w="208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Address</w:t>
            </w:r>
          </w:p>
        </w:tc>
        <w:tc>
          <w:tcPr>
            <w:tcW w:w="3080" w:type="dxa"/>
            <w:vAlign w:val="bottom"/>
          </w:tcPr>
          <w:p>
            <w:pPr>
              <w:spacing w:after="0"/>
              <w:rPr>
                <w:sz w:val="14"/>
                <w:szCs w:val="14"/>
                <w:color w:val="auto"/>
              </w:rPr>
            </w:pPr>
          </w:p>
        </w:tc>
      </w:tr>
      <w:tr>
        <w:trPr>
          <w:trHeight w:val="195"/>
        </w:trPr>
        <w:tc>
          <w:tcPr>
            <w:tcW w:w="340" w:type="dxa"/>
            <w:vAlign w:val="bottom"/>
          </w:tcPr>
          <w:p>
            <w:pPr>
              <w:spacing w:after="0" w:line="195" w:lineRule="exact"/>
              <w:rPr>
                <w:sz w:val="20"/>
                <w:szCs w:val="20"/>
                <w:color w:val="auto"/>
              </w:rPr>
            </w:pPr>
            <w:r>
              <w:rPr>
                <w:rFonts w:ascii="Arial" w:cs="Arial" w:eastAsia="Arial" w:hAnsi="Arial"/>
                <w:sz w:val="18"/>
                <w:szCs w:val="18"/>
                <w:color w:val="auto"/>
                <w:w w:val="79"/>
              </w:rPr>
              <w:t>ARM</w:t>
            </w:r>
          </w:p>
        </w:tc>
        <w:tc>
          <w:tcPr>
            <w:tcW w:w="2080" w:type="dxa"/>
            <w:vAlign w:val="bottom"/>
          </w:tcPr>
          <w:p>
            <w:pPr>
              <w:spacing w:after="0"/>
              <w:rPr>
                <w:sz w:val="16"/>
                <w:szCs w:val="16"/>
                <w:color w:val="auto"/>
              </w:rPr>
            </w:pPr>
          </w:p>
        </w:tc>
        <w:tc>
          <w:tcPr>
            <w:tcW w:w="3600" w:type="dxa"/>
            <w:vAlign w:val="bottom"/>
            <w:gridSpan w:val="2"/>
          </w:tcPr>
          <w:p>
            <w:pPr>
              <w:spacing w:after="0" w:line="195" w:lineRule="exact"/>
              <w:rPr>
                <w:sz w:val="20"/>
                <w:szCs w:val="20"/>
                <w:color w:val="auto"/>
              </w:rPr>
            </w:pPr>
            <w:r>
              <w:rPr>
                <w:rFonts w:ascii="Arial" w:cs="Arial" w:eastAsia="Arial" w:hAnsi="Arial"/>
                <w:sz w:val="18"/>
                <w:szCs w:val="18"/>
                <w:color w:val="auto"/>
              </w:rPr>
              <w:t>110 Fulbourn Road</w:t>
            </w: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Cambridge</w:t>
            </w: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England CB1 9NJ</w:t>
            </w: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For the attention of: General Counsel</w:t>
            </w:r>
          </w:p>
        </w:tc>
      </w:tr>
      <w:tr>
        <w:trPr>
          <w:trHeight w:val="323"/>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With a copy (which shall not constitute notice) to:</w:t>
            </w:r>
          </w:p>
        </w:tc>
      </w:tr>
      <w:tr>
        <w:trPr>
          <w:trHeight w:val="323"/>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Slaughter and May</w:t>
            </w: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One Bunhill Row</w:t>
            </w: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London</w:t>
            </w: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EC1Y 8YY</w:t>
            </w:r>
          </w:p>
        </w:tc>
      </w:tr>
      <w:tr>
        <w:trPr>
          <w:trHeight w:val="323"/>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For the attention of: [***]</w:t>
            </w: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With a copy to: [***]</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4" w:right="120" w:hanging="539"/>
        <w:spacing w:after="0" w:line="308" w:lineRule="auto"/>
        <w:tabs>
          <w:tab w:leader="none" w:pos="524"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7"/>
          <w:szCs w:val="17"/>
          <w:color w:val="auto"/>
        </w:rPr>
        <w:t>A Party may change its notice details on giving notice to the other Parties of the change in accordance with this Clause 44, such change to take effect upon deemed delivery of the relevant notice pursuant to this Clause 44 (unless otherwise specified in the notice).</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Notice shall be deemed delivered on the following dates: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44.4.1</w:t>
      </w:r>
      <w:r>
        <w:rPr>
          <w:sz w:val="20"/>
          <w:szCs w:val="20"/>
          <w:color w:val="auto"/>
        </w:rPr>
        <w:tab/>
      </w:r>
      <w:r>
        <w:rPr>
          <w:rFonts w:ascii="Arial" w:cs="Arial" w:eastAsia="Arial" w:hAnsi="Arial"/>
          <w:sz w:val="16"/>
          <w:szCs w:val="16"/>
          <w:color w:val="auto"/>
        </w:rPr>
        <w:t>if delivery is made personally or by messenger, on the date of delivery;</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44.4.2</w:t>
      </w:r>
      <w:r>
        <w:rPr>
          <w:sz w:val="20"/>
          <w:szCs w:val="20"/>
          <w:color w:val="auto"/>
        </w:rPr>
        <w:tab/>
      </w:r>
      <w:r>
        <w:rPr>
          <w:rFonts w:ascii="Arial" w:cs="Arial" w:eastAsia="Arial" w:hAnsi="Arial"/>
          <w:sz w:val="16"/>
          <w:szCs w:val="16"/>
          <w:color w:val="auto"/>
        </w:rPr>
        <w:t>if delivery is by registered mail, [***] days after it is mailed (as indicated by the postmark);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44.4.3</w:t>
      </w:r>
      <w:r>
        <w:rPr>
          <w:sz w:val="20"/>
          <w:szCs w:val="20"/>
          <w:color w:val="auto"/>
        </w:rPr>
        <w:tab/>
      </w:r>
      <w:r>
        <w:rPr>
          <w:rFonts w:ascii="Arial" w:cs="Arial" w:eastAsia="Arial" w:hAnsi="Arial"/>
          <w:sz w:val="16"/>
          <w:szCs w:val="16"/>
          <w:color w:val="auto"/>
        </w:rPr>
        <w:t>if delivery is by email, on the [***] Business Day after the date of sending.</w:t>
      </w:r>
    </w:p>
    <w:p>
      <w:pPr>
        <w:spacing w:after="0" w:line="370" w:lineRule="exact"/>
        <w:rPr>
          <w:sz w:val="20"/>
          <w:szCs w:val="20"/>
          <w:color w:val="auto"/>
        </w:rPr>
      </w:pPr>
    </w:p>
    <w:p>
      <w:pPr>
        <w:ind w:left="544" w:hanging="544"/>
        <w:spacing w:after="0"/>
        <w:tabs>
          <w:tab w:leader="none" w:pos="544"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Except as otherwise stated in this Agreement:</w:t>
      </w:r>
    </w:p>
    <w:p>
      <w:pPr>
        <w:spacing w:after="0" w:line="131" w:lineRule="exact"/>
        <w:rPr>
          <w:sz w:val="20"/>
          <w:szCs w:val="20"/>
          <w:color w:val="auto"/>
        </w:rPr>
      </w:pPr>
    </w:p>
    <w:p>
      <w:pPr>
        <w:ind w:left="1184" w:right="380" w:hanging="647"/>
        <w:spacing w:after="0" w:line="277" w:lineRule="auto"/>
        <w:tabs>
          <w:tab w:leader="none" w:pos="1164" w:val="left"/>
        </w:tabs>
        <w:rPr>
          <w:sz w:val="20"/>
          <w:szCs w:val="20"/>
          <w:color w:val="auto"/>
        </w:rPr>
      </w:pPr>
      <w:r>
        <w:rPr>
          <w:rFonts w:ascii="Arial" w:cs="Arial" w:eastAsia="Arial" w:hAnsi="Arial"/>
          <w:sz w:val="18"/>
          <w:szCs w:val="18"/>
          <w:color w:val="auto"/>
        </w:rPr>
        <w:t>45.1.1</w:t>
        <w:tab/>
        <w:t>nothing herein shall be construed to create any relationship of employer and employee, agent and principal or partnership between JVCo on the one hand, and ARM, on the other hand;</w:t>
      </w:r>
    </w:p>
    <w:p>
      <w:pPr>
        <w:spacing w:after="0" w:line="76"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45.1.2</w:t>
        <w:tab/>
        <w:t>JVCo shall not assume, either directly or indirectly, any liability of or for ARM and ARM shall not assume, either directly or indirectly, any liability of or for JVCo; and</w:t>
      </w:r>
    </w:p>
    <w:p>
      <w:pPr>
        <w:spacing w:after="0" w:line="76" w:lineRule="exact"/>
        <w:rPr>
          <w:sz w:val="20"/>
          <w:szCs w:val="20"/>
          <w:color w:val="auto"/>
        </w:rPr>
      </w:pPr>
    </w:p>
    <w:p>
      <w:pPr>
        <w:jc w:val="center"/>
        <w:ind w:right="76"/>
        <w:spacing w:after="0"/>
        <w:tabs>
          <w:tab w:leader="none" w:pos="180" w:val="left"/>
        </w:tabs>
        <w:rPr>
          <w:sz w:val="20"/>
          <w:szCs w:val="20"/>
          <w:color w:val="auto"/>
        </w:rPr>
      </w:pPr>
      <w:r>
        <w:rPr>
          <w:rFonts w:ascii="Arial" w:cs="Arial" w:eastAsia="Arial" w:hAnsi="Arial"/>
          <w:sz w:val="18"/>
          <w:szCs w:val="18"/>
          <w:color w:val="auto"/>
        </w:rPr>
        <w:t>45.1.3</w:t>
      </w:r>
      <w:r>
        <w:rPr>
          <w:sz w:val="20"/>
          <w:szCs w:val="20"/>
          <w:color w:val="auto"/>
        </w:rPr>
        <w:tab/>
      </w:r>
      <w:r>
        <w:rPr>
          <w:rFonts w:ascii="Arial" w:cs="Arial" w:eastAsia="Arial" w:hAnsi="Arial"/>
          <w:sz w:val="16"/>
          <w:szCs w:val="16"/>
          <w:color w:val="auto"/>
        </w:rPr>
        <w:t>neither JVCo nor ARM shall have the authority to bind or obligate the other and nor shall it represent that it has such authority.</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44"/>
          </w:cols>
          <w:pgMar w:left="436" w:top="265" w:right="519" w:bottom="1440" w:gutter="0" w:footer="0" w:header="0"/>
        </w:sectPr>
      </w:pPr>
    </w:p>
    <w:bookmarkStart w:id="392" w:name="page393"/>
    <w:bookmarkEnd w:id="392"/>
    <w:p>
      <w:pPr>
        <w:ind w:left="544" w:hanging="544"/>
        <w:spacing w:after="0"/>
        <w:tabs>
          <w:tab w:leader="none" w:pos="544"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AND EXPENSES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Except as otherwise stated in this Agreement and Section 13.03 of the Investment Agreement: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46.1.1</w:t>
      </w:r>
      <w:r>
        <w:rPr>
          <w:sz w:val="20"/>
          <w:szCs w:val="20"/>
          <w:color w:val="auto"/>
        </w:rPr>
        <w:tab/>
      </w:r>
      <w:r>
        <w:rPr>
          <w:rFonts w:ascii="Arial" w:cs="Arial" w:eastAsia="Arial" w:hAnsi="Arial"/>
          <w:sz w:val="16"/>
          <w:szCs w:val="16"/>
          <w:color w:val="auto"/>
        </w:rPr>
        <w:t>ARM shall pay all costs and expenses incurred by ARM and members of the ARM Group;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46.1.2</w:t>
      </w:r>
      <w:r>
        <w:rPr>
          <w:sz w:val="20"/>
          <w:szCs w:val="20"/>
          <w:color w:val="auto"/>
        </w:rPr>
        <w:tab/>
      </w:r>
      <w:r>
        <w:rPr>
          <w:rFonts w:ascii="Arial" w:cs="Arial" w:eastAsia="Arial" w:hAnsi="Arial"/>
          <w:sz w:val="16"/>
          <w:szCs w:val="16"/>
          <w:color w:val="auto"/>
        </w:rPr>
        <w:t>JVCo shall pay all costs and expenses incurred by it and members of the JVCo Group,</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relation to the negotiation, preparation, execution and carrying into effect of this Agreement.</w:t>
      </w:r>
    </w:p>
    <w:p>
      <w:pPr>
        <w:spacing w:after="0" w:line="370" w:lineRule="exact"/>
        <w:rPr>
          <w:sz w:val="20"/>
          <w:szCs w:val="20"/>
          <w:color w:val="auto"/>
        </w:rPr>
      </w:pPr>
    </w:p>
    <w:p>
      <w:pPr>
        <w:ind w:left="544" w:hanging="544"/>
        <w:spacing w:after="0"/>
        <w:tabs>
          <w:tab w:leader="none" w:pos="54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47.1</w:t>
        <w:tab/>
        <w:t>This Agreement may be executed in any number of counterparts, and by the Parties to it on separate counterparts, but shall not be effective until each Party has executed at least one counterpart.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6"/>
          <w:szCs w:val="16"/>
          <w:color w:val="auto"/>
        </w:rPr>
        <w:t>Each counterpart shall constitute an original of this Agreement, but all the counterparts shall together constitute but one and the same instrument.</w:t>
      </w:r>
    </w:p>
    <w:p>
      <w:pPr>
        <w:spacing w:after="0" w:line="370" w:lineRule="exact"/>
        <w:rPr>
          <w:sz w:val="20"/>
          <w:szCs w:val="20"/>
          <w:color w:val="auto"/>
        </w:rPr>
      </w:pPr>
    </w:p>
    <w:p>
      <w:pPr>
        <w:ind w:left="544" w:hanging="544"/>
        <w:spacing w:after="0"/>
        <w:tabs>
          <w:tab w:leader="none" w:pos="54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48.1</w:t>
        <w:tab/>
        <w:t>This Agreement and the other Transaction Documents, together with all Schedules hereto and thereto, constitute the whole and only agreement between the Parties relating to the subject matter of this Agreement.</w:t>
      </w:r>
    </w:p>
    <w:p>
      <w:pPr>
        <w:spacing w:after="0" w:line="76"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48.2</w:t>
        <w:tab/>
        <w:t>Except in the case of fraud, each Party acknowledges that in entering into this Agreement it is not relying upon any pre-contractual statement which is not expressly repeated in this Agreement and the other Transaction Documents.</w:t>
      </w:r>
    </w:p>
    <w:p>
      <w:pPr>
        <w:spacing w:after="0" w:line="76" w:lineRule="exact"/>
        <w:rPr>
          <w:sz w:val="20"/>
          <w:szCs w:val="20"/>
          <w:color w:val="auto"/>
        </w:rPr>
      </w:pPr>
    </w:p>
    <w:p>
      <w:pPr>
        <w:jc w:val="right"/>
        <w:ind w:left="4" w:right="1060"/>
        <w:spacing w:after="0" w:line="342" w:lineRule="auto"/>
        <w:rPr>
          <w:sz w:val="20"/>
          <w:szCs w:val="20"/>
          <w:color w:val="auto"/>
        </w:rPr>
      </w:pPr>
      <w:r>
        <w:rPr>
          <w:rFonts w:ascii="Arial" w:cs="Arial" w:eastAsia="Arial" w:hAnsi="Arial"/>
          <w:sz w:val="16"/>
          <w:szCs w:val="16"/>
          <w:color w:val="auto"/>
        </w:rPr>
        <w:t>48.3   Except in the case of fraud, no Party shall have any right of action against any other Party arising out of or in connection with any pre-contractual statement except to the extent that it is expressly repeated in this Agreement and the other Transaction Documents.</w:t>
      </w:r>
    </w:p>
    <w:p>
      <w:pPr>
        <w:spacing w:after="0" w:line="29"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48.4</w:t>
        <w:tab/>
        <w:t>For the purposes of this Clause 48, “pre-contractual statement” means any draft, agreement, undertaking, representation, warranty, promise, assurance or arrangement of any nature whatsoever, whether or not in writing, relating to the subject matter of this Agreement made or given by any person at any time prior to the date of this Agreement.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48.5</w:t>
      </w:r>
      <w:r>
        <w:rPr>
          <w:sz w:val="20"/>
          <w:szCs w:val="20"/>
          <w:color w:val="auto"/>
        </w:rPr>
        <w:tab/>
      </w:r>
      <w:r>
        <w:rPr>
          <w:rFonts w:ascii="Arial" w:cs="Arial" w:eastAsia="Arial" w:hAnsi="Arial"/>
          <w:sz w:val="16"/>
          <w:szCs w:val="16"/>
          <w:color w:val="auto"/>
        </w:rPr>
        <w:t>This Agreement may only be varied in writing signed by each of the Parties.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4"/>
          </w:cols>
          <w:pgMar w:left="436" w:top="270" w:right="479" w:bottom="1440" w:gutter="0" w:footer="0" w:header="0"/>
        </w:sectPr>
      </w:pPr>
    </w:p>
    <w:bookmarkStart w:id="393" w:name="page394"/>
    <w:bookmarkEnd w:id="393"/>
    <w:p>
      <w:pPr>
        <w:ind w:left="544" w:hanging="544"/>
        <w:spacing w:after="0"/>
        <w:tabs>
          <w:tab w:leader="none" w:pos="54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INVALIDITY</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49.1</w:t>
        <w:tab/>
        <w:t>If at any time any provision of this Agreement is or becomes illegal, invalid or unenforceable in any respect under the law of any jurisdiction that shall not affect or impair:</w:t>
      </w:r>
    </w:p>
    <w:p>
      <w:pPr>
        <w:spacing w:after="0" w:line="76"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49.1.1</w:t>
      </w:r>
      <w:r>
        <w:rPr>
          <w:sz w:val="20"/>
          <w:szCs w:val="20"/>
          <w:color w:val="auto"/>
        </w:rPr>
        <w:tab/>
      </w:r>
      <w:r>
        <w:rPr>
          <w:rFonts w:ascii="Arial" w:cs="Arial" w:eastAsia="Arial" w:hAnsi="Arial"/>
          <w:sz w:val="16"/>
          <w:szCs w:val="16"/>
          <w:color w:val="auto"/>
        </w:rPr>
        <w:t>the legality, validity or enforceability in that jurisdiction of any other provision of this Agreement;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49.1.2</w:t>
      </w:r>
      <w:r>
        <w:rPr>
          <w:sz w:val="20"/>
          <w:szCs w:val="20"/>
          <w:color w:val="auto"/>
        </w:rPr>
        <w:tab/>
      </w:r>
      <w:r>
        <w:rPr>
          <w:rFonts w:ascii="Arial" w:cs="Arial" w:eastAsia="Arial" w:hAnsi="Arial"/>
          <w:sz w:val="16"/>
          <w:szCs w:val="16"/>
          <w:color w:val="auto"/>
        </w:rPr>
        <w:t>the legality, validity or enforceability under the law of any other jurisdiction of that or any other provision of this Agreement.</w:t>
      </w:r>
    </w:p>
    <w:p>
      <w:pPr>
        <w:spacing w:after="0" w:line="131" w:lineRule="exact"/>
        <w:rPr>
          <w:sz w:val="20"/>
          <w:szCs w:val="20"/>
          <w:color w:val="auto"/>
        </w:rPr>
      </w:pPr>
    </w:p>
    <w:p>
      <w:pPr>
        <w:jc w:val="both"/>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t>49.2</w:t>
        <w:tab/>
        <w:t>In such case,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w:t>
      </w:r>
    </w:p>
    <w:p>
      <w:pPr>
        <w:spacing w:after="0" w:line="328" w:lineRule="exact"/>
        <w:rPr>
          <w:sz w:val="20"/>
          <w:szCs w:val="20"/>
          <w:color w:val="auto"/>
        </w:rPr>
      </w:pPr>
    </w:p>
    <w:p>
      <w:pPr>
        <w:ind w:left="544" w:hanging="544"/>
        <w:spacing w:after="0"/>
        <w:tabs>
          <w:tab w:leader="none" w:pos="54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35"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50.1</w:t>
        <w:tab/>
        <w:t>Each Party shall, at the written request of another Party, execute all documents and do all such acts and things as may be reasonably necessary to give full effect to this Agreement.</w:t>
      </w:r>
    </w:p>
    <w:p>
      <w:pPr>
        <w:spacing w:after="0" w:line="76" w:lineRule="exact"/>
        <w:rPr>
          <w:sz w:val="20"/>
          <w:szCs w:val="20"/>
          <w:color w:val="auto"/>
        </w:rPr>
      </w:pPr>
    </w:p>
    <w:p>
      <w:pPr>
        <w:jc w:val="both"/>
        <w:ind w:left="544" w:right="580" w:hanging="539"/>
        <w:spacing w:after="0" w:line="263" w:lineRule="auto"/>
        <w:tabs>
          <w:tab w:leader="none" w:pos="524" w:val="left"/>
        </w:tabs>
        <w:rPr>
          <w:sz w:val="20"/>
          <w:szCs w:val="20"/>
          <w:color w:val="auto"/>
        </w:rPr>
      </w:pPr>
      <w:r>
        <w:rPr>
          <w:rFonts w:ascii="Arial" w:cs="Arial" w:eastAsia="Arial" w:hAnsi="Arial"/>
          <w:sz w:val="18"/>
          <w:szCs w:val="18"/>
          <w:color w:val="auto"/>
        </w:rPr>
        <w:t>50.2</w:t>
        <w:tab/>
        <w:t>Each Party shall, at the request of the other Party, provide such information and execute such documents as are reasonably necessary for registration of the licenses granted under this Agreement with the intellectual property offices and/or any other relevant authorities in any country of the world.</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The requesting Party shall pay any reasonable and properly incurred expenses of any other Party in complying with its obligations under Clauses</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50.1 and 50.2.</w:t>
      </w:r>
    </w:p>
    <w:p>
      <w:pPr>
        <w:spacing w:after="0" w:line="116" w:lineRule="exact"/>
        <w:rPr>
          <w:sz w:val="20"/>
          <w:szCs w:val="20"/>
          <w:color w:val="auto"/>
        </w:rPr>
      </w:pPr>
    </w:p>
    <w:p>
      <w:pPr>
        <w:ind w:left="544" w:hanging="539"/>
        <w:spacing w:after="0" w:line="273" w:lineRule="auto"/>
        <w:tabs>
          <w:tab w:leader="none" w:pos="524"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7"/>
          <w:szCs w:val="17"/>
          <w:color w:val="auto"/>
        </w:rPr>
        <w:t>JVCo shall: (i) within [***] days of the date of this Agreement, register this Agreement as a technology import contract with the relevant local counterpart of the Ministry of Commerce of the People’s Republic of China (“</w:t>
      </w:r>
      <w:r>
        <w:rPr>
          <w:rFonts w:ascii="Arial" w:cs="Arial" w:eastAsia="Arial" w:hAnsi="Arial"/>
          <w:sz w:val="17"/>
          <w:szCs w:val="17"/>
          <w:b w:val="1"/>
          <w:bCs w:val="1"/>
          <w:color w:val="auto"/>
        </w:rPr>
        <w:t>MOFCOM</w:t>
      </w:r>
      <w:r>
        <w:rPr>
          <w:rFonts w:ascii="Arial" w:cs="Arial" w:eastAsia="Arial" w:hAnsi="Arial"/>
          <w:sz w:val="17"/>
          <w:szCs w:val="17"/>
          <w:color w:val="auto"/>
        </w:rPr>
        <w:t>”) under the PRC Regulations on the Administration of the Import and Export of Technologies, and shall deliver to ARM a copy of the technology import certificate issued by MOFCOM (“</w:t>
      </w:r>
      <w:r>
        <w:rPr>
          <w:rFonts w:ascii="Arial" w:cs="Arial" w:eastAsia="Arial" w:hAnsi="Arial"/>
          <w:sz w:val="17"/>
          <w:szCs w:val="17"/>
          <w:b w:val="1"/>
          <w:bCs w:val="1"/>
          <w:color w:val="auto"/>
        </w:rPr>
        <w:t>Technology</w:t>
      </w:r>
      <w:r>
        <w:rPr>
          <w:rFonts w:ascii="Arial" w:cs="Arial" w:eastAsia="Arial" w:hAnsi="Arial"/>
          <w:sz w:val="17"/>
          <w:szCs w:val="17"/>
          <w:color w:val="auto"/>
        </w:rPr>
        <w:t xml:space="preserve"> </w:t>
      </w:r>
      <w:r>
        <w:rPr>
          <w:rFonts w:ascii="Arial" w:cs="Arial" w:eastAsia="Arial" w:hAnsi="Arial"/>
          <w:sz w:val="17"/>
          <w:szCs w:val="17"/>
          <w:b w:val="1"/>
          <w:bCs w:val="1"/>
          <w:color w:val="auto"/>
        </w:rPr>
        <w:t>Import Certificate</w:t>
      </w:r>
      <w:r>
        <w:rPr>
          <w:rFonts w:ascii="Arial" w:cs="Arial" w:eastAsia="Arial" w:hAnsi="Arial"/>
          <w:sz w:val="17"/>
          <w:szCs w:val="17"/>
          <w:color w:val="auto"/>
        </w:rPr>
        <w:t>”); and (ii) promptly make any and all other filings and registrations and take such other actions as may be required to enable</w:t>
      </w:r>
      <w:r>
        <w:rPr>
          <w:rFonts w:ascii="Arial" w:cs="Arial" w:eastAsia="Arial" w:hAnsi="Arial"/>
          <w:sz w:val="17"/>
          <w:szCs w:val="17"/>
          <w:b w:val="1"/>
          <w:bCs w:val="1"/>
          <w:color w:val="auto"/>
        </w:rPr>
        <w:t xml:space="preserve"> </w:t>
      </w:r>
      <w:r>
        <w:rPr>
          <w:rFonts w:ascii="Arial" w:cs="Arial" w:eastAsia="Arial" w:hAnsi="Arial"/>
          <w:sz w:val="17"/>
          <w:szCs w:val="17"/>
          <w:color w:val="auto"/>
        </w:rPr>
        <w:t>JVCo to effect payment of any sums due to ARM under this Agreement, including, but not limited to, filing addenda to this Agreement with MOFCOM in order to obtain any updated Technology Import Certificate required to make such payment.</w:t>
      </w:r>
    </w:p>
    <w:p>
      <w:pPr>
        <w:spacing w:after="0" w:line="322" w:lineRule="exact"/>
        <w:rPr>
          <w:sz w:val="20"/>
          <w:szCs w:val="20"/>
          <w:color w:val="auto"/>
        </w:rPr>
      </w:pPr>
    </w:p>
    <w:p>
      <w:pPr>
        <w:ind w:left="544" w:hanging="544"/>
        <w:spacing w:after="0"/>
        <w:tabs>
          <w:tab w:leader="none" w:pos="54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21" w:lineRule="exact"/>
        <w:rPr>
          <w:rFonts w:ascii="Arial" w:cs="Arial" w:eastAsia="Arial" w:hAnsi="Arial"/>
          <w:sz w:val="18"/>
          <w:szCs w:val="18"/>
          <w:b w:val="1"/>
          <w:bCs w:val="1"/>
          <w:color w:val="auto"/>
        </w:rPr>
      </w:pPr>
    </w:p>
    <w:p>
      <w:pPr>
        <w:ind w:left="5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Except as expressly stated in this Agreement, the Parties do not intend that any term of this Agreement should be enforceable by any person who is not a party to this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4"/>
          </w:cols>
          <w:pgMar w:left="436" w:top="270" w:right="459" w:bottom="1440" w:gutter="0" w:footer="0" w:header="0"/>
        </w:sectPr>
      </w:pPr>
    </w:p>
    <w:bookmarkStart w:id="394" w:name="page395"/>
    <w:bookmarkEnd w:id="394"/>
    <w:p>
      <w:pPr>
        <w:ind w:left="544" w:hanging="544"/>
        <w:spacing w:after="0"/>
        <w:tabs>
          <w:tab w:leader="none" w:pos="54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p>
    <w:p>
      <w:pPr>
        <w:spacing w:after="0" w:line="121" w:lineRule="exact"/>
        <w:rPr>
          <w:rFonts w:ascii="Arial" w:cs="Arial" w:eastAsia="Arial" w:hAnsi="Arial"/>
          <w:sz w:val="18"/>
          <w:szCs w:val="18"/>
          <w:b w:val="1"/>
          <w:bCs w:val="1"/>
          <w:color w:val="auto"/>
        </w:rPr>
      </w:pPr>
    </w:p>
    <w:p>
      <w:pPr>
        <w:ind w:left="544"/>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Subject to Clause 40.11, this Agreement is to be governed by and construed in accordance with English law. Any dispute arising out of or in connection with this Agreement, whether contractual or non-contractual, is to be governed by and determined in accordance with English law.</w:t>
      </w:r>
    </w:p>
    <w:p>
      <w:pPr>
        <w:spacing w:after="0" w:line="56"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784"/>
          </w:cols>
          <w:pgMar w:left="436" w:top="270" w:right="67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t>
      </w:r>
      <w:r>
        <w:rPr>
          <w:rFonts w:ascii="Arial" w:cs="Arial" w:eastAsia="Arial" w:hAnsi="Arial"/>
          <w:sz w:val="18"/>
          <w:szCs w:val="18"/>
          <w:color w:val="auto"/>
        </w:rPr>
        <w:t>of which this Agreement has been entered into on the date first written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 w:type="dxa"/>
            <w:vAlign w:val="bottom"/>
          </w:tcPr>
          <w:p>
            <w:pPr>
              <w:spacing w:after="0"/>
              <w:rPr>
                <w:sz w:val="20"/>
                <w:szCs w:val="20"/>
                <w:color w:val="auto"/>
              </w:rPr>
            </w:pPr>
            <w:r>
              <w:rPr>
                <w:rFonts w:ascii="Arial" w:cs="Arial" w:eastAsia="Arial" w:hAnsi="Arial"/>
                <w:sz w:val="18"/>
                <w:szCs w:val="18"/>
                <w:color w:val="auto"/>
              </w:rPr>
              <w:t>Signed by</w:t>
            </w:r>
          </w:p>
        </w:tc>
        <w:tc>
          <w:tcPr>
            <w:tcW w:w="3420" w:type="dxa"/>
            <w:vAlign w:val="bottom"/>
          </w:tcPr>
          <w:p>
            <w:pPr>
              <w:ind w:left="200"/>
              <w:spacing w:after="0"/>
              <w:rPr>
                <w:sz w:val="20"/>
                <w:szCs w:val="20"/>
                <w:color w:val="auto"/>
              </w:rPr>
            </w:pPr>
            <w:r>
              <w:rPr>
                <w:rFonts w:ascii="Arial" w:cs="Arial" w:eastAsia="Arial" w:hAnsi="Arial"/>
                <w:sz w:val="18"/>
                <w:szCs w:val="18"/>
                <w:color w:val="auto"/>
              </w:rPr>
              <w:t>Graham Budd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20"/>
        </w:trPr>
        <w:tc>
          <w:tcPr>
            <w:tcW w:w="4340" w:type="dxa"/>
            <w:vAlign w:val="bottom"/>
            <w:gridSpan w:val="2"/>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ARM LIMITED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/s/ Graham Budd</w:t>
            </w:r>
          </w:p>
        </w:tc>
      </w:tr>
      <w:tr>
        <w:trPr>
          <w:trHeight w:val="223"/>
        </w:trPr>
        <w:tc>
          <w:tcPr>
            <w:tcW w:w="9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180" w:type="dxa"/>
            <w:vAlign w:val="bottom"/>
            <w:tcBorders>
              <w:top w:val="single" w:sz="8" w:color="auto"/>
            </w:tcBorders>
          </w:tcPr>
          <w:p>
            <w:pPr>
              <w:spacing w:after="0"/>
              <w:rPr>
                <w:sz w:val="19"/>
                <w:szCs w:val="19"/>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Signed by</w:t>
            </w:r>
          </w:p>
        </w:tc>
        <w:tc>
          <w:tcPr>
            <w:tcW w:w="3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2"/>
        </w:trPr>
        <w:tc>
          <w:tcPr>
            <w:tcW w:w="43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2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ARM TECHNOLOGY (CHINA) CO. LTD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30"/>
        </w:trPr>
        <w:tc>
          <w:tcPr>
            <w:tcW w:w="4340" w:type="dxa"/>
            <w:vAlign w:val="bottom"/>
            <w:gridSpan w:val="2"/>
          </w:tcPr>
          <w:p>
            <w:pPr>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安谋科技（中国）有限公司</w:t>
            </w: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/s/ Allen Wu</w:t>
            </w:r>
          </w:p>
        </w:tc>
      </w:tr>
      <w:tr>
        <w:trPr>
          <w:trHeight w:val="223"/>
        </w:trPr>
        <w:tc>
          <w:tcPr>
            <w:tcW w:w="9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180" w:type="dxa"/>
            <w:vAlign w:val="bottom"/>
            <w:tcBorders>
              <w:top w:val="single" w:sz="8" w:color="auto"/>
            </w:tcBorders>
          </w:tcPr>
          <w:p>
            <w:pPr>
              <w:spacing w:after="0"/>
              <w:rPr>
                <w:sz w:val="19"/>
                <w:szCs w:val="19"/>
                <w:color w:val="auto"/>
              </w:rPr>
            </w:pPr>
          </w:p>
        </w:tc>
      </w:tr>
      <w:tr>
        <w:trPr>
          <w:trHeight w:val="365"/>
        </w:trPr>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PRC LICENSEES AS AT THE DATE OF THIS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9019"/>
          </w:cols>
          <w:pgMar w:left="1440" w:top="270" w:right="1440" w:bottom="1440" w:gutter="0" w:footer="0" w:header="0"/>
        </w:sectPr>
      </w:pPr>
    </w:p>
    <w:bookmarkStart w:id="397" w:name="page398"/>
    <w:bookmarkEnd w:id="3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CALCULATION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9019"/>
          </w:cols>
          <w:pgMar w:left="1440" w:top="270" w:right="1440"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 FORMA PAYMENT REPORT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9019"/>
          </w:cols>
          <w:pgMar w:left="1440" w:top="270" w:right="1440" w:bottom="1440" w:gutter="0" w:footer="0" w:header="0"/>
        </w:sectPr>
      </w:pPr>
    </w:p>
    <w:bookmarkStart w:id="399" w:name="page400"/>
    <w:bookmarkEnd w:id="3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PERMITTED DEVIATIONS AND LICENSING EXCEPTIONS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9019"/>
          </w:cols>
          <w:pgMar w:left="1440" w:top="270" w:right="1440"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EXAMPLE PRODUCT LIFECYCLE MANAGEMENT REQUIREMENTS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1"/>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lvl w:ilvl="1">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1)"/>
      <w:numFmt w:val="decimal"/>
      <w:start w:val="1"/>
    </w:lvl>
  </w:abstractNum>
  <w:abstractNum w:abstractNumId="22">
    <w:nsid w:val="F819E7F"/>
    <w:multiLevelType w:val="hybridMultilevel"/>
    <w:lvl w:ilvl="0">
      <w:lvlJc w:val="left"/>
      <w:lvlText w:val="(%1)"/>
      <w:numFmt w:val="decimal"/>
      <w:start w:val="3"/>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1)"/>
      <w:numFmt w:val="lowerRoman"/>
      <w:start w:val="4"/>
    </w:lvl>
  </w:abstractNum>
  <w:abstractNum w:abstractNumId="29">
    <w:nsid w:val="1A0DDE32"/>
    <w:multiLevelType w:val="hybridMultilevel"/>
    <w:lvl w:ilvl="0">
      <w:lvlJc w:val="left"/>
      <w:lvlText w:val="•"/>
      <w:numFmt w:val="bullet"/>
      <w:start w:val="1"/>
    </w:lvl>
  </w:abstractNum>
  <w:abstractNum w:abstractNumId="30">
    <w:nsid w:val="65968C1C"/>
    <w:multiLevelType w:val="hybridMultilevel"/>
    <w:lvl w:ilvl="0">
      <w:lvlJc w:val="left"/>
      <w:lvlText w:val="•"/>
      <w:numFmt w:val="bullet"/>
      <w:start w:val="1"/>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1)"/>
      <w:numFmt w:val="decimal"/>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1)"/>
      <w:numFmt w:val="decimal"/>
      <w:start w:val="1"/>
    </w:lvl>
  </w:abstractNum>
  <w:abstractNum w:abstractNumId="44">
    <w:nsid w:val="3F7C2FF4"/>
    <w:multiLevelType w:val="hybridMultilevel"/>
    <w:lvl w:ilvl="0">
      <w:lvlJc w:val="left"/>
      <w:lvlText w:val="(%1)"/>
      <w:numFmt w:val="decimal"/>
      <w:start w:val="1"/>
    </w:lvl>
  </w:abstractNum>
  <w:abstractNum w:abstractNumId="45">
    <w:nsid w:val="25413BEC"/>
    <w:multiLevelType w:val="hybridMultilevel"/>
    <w:lvl w:ilvl="0">
      <w:lvlJc w:val="left"/>
      <w:lvlText w:val="(%1)"/>
      <w:numFmt w:val="decimal"/>
      <w:start w:val="1"/>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
      <w:numFmt w:val="bullet"/>
      <w:start w:val="1"/>
    </w:lvl>
  </w:abstractNum>
  <w:abstractNum w:abstractNumId="48">
    <w:nsid w:val="5D205E20"/>
    <w:multiLevelType w:val="hybridMultilevel"/>
    <w:lvl w:ilvl="0">
      <w:lvlJc w:val="left"/>
      <w:lvlText w:val="•"/>
      <w:numFmt w:val="bullet"/>
      <w:start w:val="1"/>
    </w:lvl>
  </w:abstractNum>
  <w:abstractNum w:abstractNumId="49">
    <w:nsid w:val="11CCA8BA"/>
    <w:multiLevelType w:val="hybridMultilevel"/>
    <w:lvl w:ilvl="0">
      <w:lvlJc w:val="left"/>
      <w:lvlText w:val="•"/>
      <w:numFmt w:val="bullet"/>
      <w:start w:val="1"/>
    </w:lvl>
  </w:abstractNum>
  <w:abstractNum w:abstractNumId="50">
    <w:nsid w:val="4D32AB86"/>
    <w:multiLevelType w:val="hybridMultilevel"/>
    <w:lvl w:ilvl="0">
      <w:lvlJc w:val="left"/>
      <w:lvlText w:val="•"/>
      <w:numFmt w:val="bullet"/>
      <w:start w:val="1"/>
    </w:lvl>
    <w:lvl w:ilvl="1">
      <w:lvlJc w:val="left"/>
      <w:lvlText w:val="•"/>
      <w:numFmt w:val="bullet"/>
      <w:start w:val="1"/>
    </w:lvl>
  </w:abstractNum>
  <w:abstractNum w:abstractNumId="51">
    <w:nsid w:val="3F07ACC3"/>
    <w:multiLevelType w:val="hybridMultilevel"/>
    <w:lvl w:ilvl="0">
      <w:lvlJc w:val="left"/>
      <w:lvlText w:val="•"/>
      <w:numFmt w:val="bullet"/>
      <w:start w:val="1"/>
    </w:lvl>
  </w:abstractNum>
  <w:abstractNum w:abstractNumId="52">
    <w:nsid w:val="6B47F63E"/>
    <w:multiLevelType w:val="hybridMultilevel"/>
    <w:lvl w:ilvl="0">
      <w:lvlJc w:val="left"/>
      <w:lvlText w:val="•"/>
      <w:numFmt w:val="bullet"/>
      <w:start w:val="1"/>
    </w:lvl>
  </w:abstractNum>
  <w:abstractNum w:abstractNumId="53">
    <w:nsid w:val="5CB44A05"/>
    <w:multiLevelType w:val="hybridMultilevel"/>
    <w:lvl w:ilvl="0">
      <w:lvlJc w:val="left"/>
      <w:lvlText w:val="•"/>
      <w:numFmt w:val="bullet"/>
      <w:start w:val="1"/>
    </w:lvl>
  </w:abstractNum>
  <w:abstractNum w:abstractNumId="54">
    <w:nsid w:val="16CF80F1"/>
    <w:multiLevelType w:val="hybridMultilevel"/>
    <w:lvl w:ilvl="0">
      <w:lvlJc w:val="left"/>
      <w:lvlText w:val="•"/>
      <w:numFmt w:val="bullet"/>
      <w:start w:val="1"/>
    </w:lvl>
  </w:abstractNum>
  <w:abstractNum w:abstractNumId="55">
    <w:nsid w:val="1C695DEC"/>
    <w:multiLevelType w:val="hybridMultilevel"/>
    <w:lvl w:ilvl="0">
      <w:lvlJc w:val="left"/>
      <w:lvlText w:val="•"/>
      <w:numFmt w:val="bullet"/>
      <w:start w:val="1"/>
    </w:lvl>
  </w:abstractNum>
  <w:abstractNum w:abstractNumId="56">
    <w:nsid w:val="3FCFAED9"/>
    <w:multiLevelType w:val="hybridMultilevel"/>
    <w:lvl w:ilvl="0">
      <w:lvlJc w:val="left"/>
      <w:lvlText w:val="•"/>
      <w:numFmt w:val="bullet"/>
      <w:start w:val="1"/>
    </w:lvl>
  </w:abstractNum>
  <w:abstractNum w:abstractNumId="57">
    <w:nsid w:val="F856867"/>
    <w:multiLevelType w:val="hybridMultilevel"/>
    <w:lvl w:ilvl="0">
      <w:lvlJc w:val="left"/>
      <w:lvlText w:val="•"/>
      <w:numFmt w:val="bullet"/>
      <w:start w:val="1"/>
    </w:lvl>
  </w:abstractNum>
  <w:abstractNum w:abstractNumId="58">
    <w:nsid w:val="11B1CC33"/>
    <w:multiLevelType w:val="hybridMultilevel"/>
    <w:lvl w:ilvl="0">
      <w:lvlJc w:val="left"/>
      <w:lvlText w:val="•"/>
      <w:numFmt w:val="bullet"/>
      <w:start w:val="1"/>
    </w:lvl>
  </w:abstractNum>
  <w:abstractNum w:abstractNumId="59">
    <w:nsid w:val="2E22FBB7"/>
    <w:multiLevelType w:val="hybridMultilevel"/>
    <w:lvl w:ilvl="0">
      <w:lvlJc w:val="left"/>
      <w:lvlText w:val="•"/>
      <w:numFmt w:val="bullet"/>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
      <w:numFmt w:val="bullet"/>
      <w:start w:val="1"/>
    </w:lvl>
  </w:abstractNum>
  <w:abstractNum w:abstractNumId="62">
    <w:nsid w:val="744939A3"/>
    <w:multiLevelType w:val="hybridMultilevel"/>
    <w:lvl w:ilvl="0">
      <w:lvlJc w:val="left"/>
      <w:lvlText w:val="•"/>
      <w:numFmt w:val="bullet"/>
      <w:start w:val="1"/>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
      <w:numFmt w:val="bullet"/>
      <w:start w:val="1"/>
    </w:lvl>
  </w:abstractNum>
  <w:abstractNum w:abstractNumId="65">
    <w:nsid w:val="68B867D3"/>
    <w:multiLevelType w:val="hybridMultilevel"/>
    <w:lvl w:ilvl="0">
      <w:lvlJc w:val="left"/>
      <w:lvlText w:val="•"/>
      <w:numFmt w:val="bullet"/>
      <w:start w:val="1"/>
    </w:lvl>
  </w:abstractNum>
  <w:abstractNum w:abstractNumId="66">
    <w:nsid w:val="3F7F5DD9"/>
    <w:multiLevelType w:val="hybridMultilevel"/>
    <w:lvl w:ilvl="0">
      <w:lvlJc w:val="left"/>
      <w:lvlText w:val="•"/>
      <w:numFmt w:val="bullet"/>
      <w:start w:val="1"/>
    </w:lvl>
  </w:abstractNum>
  <w:abstractNum w:abstractNumId="67">
    <w:nsid w:val="2AE05A34"/>
    <w:multiLevelType w:val="hybridMultilevel"/>
    <w:lvl w:ilvl="0">
      <w:lvlJc w:val="left"/>
      <w:lvlText w:val="•"/>
      <w:numFmt w:val="bullet"/>
      <w:start w:val="1"/>
    </w:lvl>
  </w:abstractNum>
  <w:abstractNum w:abstractNumId="68">
    <w:nsid w:val="32794FF7"/>
    <w:multiLevelType w:val="hybridMultilevel"/>
    <w:lvl w:ilvl="0">
      <w:lvlJc w:val="left"/>
      <w:lvlText w:val="•"/>
      <w:numFmt w:val="bullet"/>
      <w:start w:val="1"/>
    </w:lvl>
  </w:abstractNum>
  <w:abstractNum w:abstractNumId="69">
    <w:nsid w:val="5454945E"/>
    <w:multiLevelType w:val="hybridMultilevel"/>
    <w:lvl w:ilvl="0">
      <w:lvlJc w:val="left"/>
      <w:lvlText w:val="(%1)"/>
      <w:numFmt w:val="lowerRoman"/>
      <w:start w:val="1"/>
    </w:lvl>
  </w:abstractNum>
  <w:abstractNum w:abstractNumId="70">
    <w:nsid w:val="4DEFDFA0"/>
    <w:multiLevelType w:val="hybridMultilevel"/>
    <w:lvl w:ilvl="0">
      <w:lvlJc w:val="left"/>
      <w:lvlText w:val="(%1)"/>
      <w:numFmt w:val="lowerLetter"/>
      <w:start w:val="3"/>
    </w:lvl>
  </w:abstractNum>
  <w:abstractNum w:abstractNumId="71">
    <w:nsid w:val="2123D5F2"/>
    <w:multiLevelType w:val="hybridMultilevel"/>
    <w:lvl w:ilvl="0">
      <w:lvlJc w:val="left"/>
      <w:lvlText w:val="*"/>
      <w:numFmt w:val="bullet"/>
      <w:start w:val="1"/>
    </w:lvl>
  </w:abstractNum>
  <w:abstractNum w:abstractNumId="72">
    <w:nsid w:val="135B8110"/>
    <w:multiLevelType w:val="hybridMultilevel"/>
    <w:lvl w:ilvl="0">
      <w:lvlJc w:val="left"/>
      <w:lvlText w:val="(%1)"/>
      <w:numFmt w:val="decimal"/>
      <w:start w:val="1"/>
    </w:lvl>
  </w:abstractNum>
  <w:abstractNum w:abstractNumId="73">
    <w:nsid w:val="94927A8"/>
    <w:multiLevelType w:val="hybridMultilevel"/>
    <w:lvl w:ilvl="0">
      <w:lvlJc w:val="left"/>
      <w:lvlText w:val="•"/>
      <w:numFmt w:val="bullet"/>
      <w:start w:val="1"/>
    </w:lvl>
  </w:abstractNum>
  <w:abstractNum w:abstractNumId="74">
    <w:nsid w:val="DCDF8F6"/>
    <w:multiLevelType w:val="hybridMultilevel"/>
    <w:lvl w:ilvl="0">
      <w:lvlJc w:val="left"/>
      <w:lvlText w:val="•"/>
      <w:numFmt w:val="bullet"/>
      <w:start w:val="1"/>
    </w:lvl>
  </w:abstractNum>
  <w:abstractNum w:abstractNumId="75">
    <w:nsid w:val="52D7B105"/>
    <w:multiLevelType w:val="hybridMultilevel"/>
    <w:lvl w:ilvl="0">
      <w:lvlJc w:val="left"/>
      <w:lvlText w:val=","/>
      <w:numFmt w:val="bullet"/>
      <w:start w:val="1"/>
    </w:lvl>
  </w:abstractNum>
  <w:abstractNum w:abstractNumId="76">
    <w:nsid w:val="2E8A6394"/>
    <w:multiLevelType w:val="hybridMultilevel"/>
    <w:lvl w:ilvl="0">
      <w:lvlJc w:val="left"/>
      <w:lvlText w:val="•"/>
      <w:numFmt w:val="bullet"/>
      <w:start w:val="1"/>
    </w:lvl>
  </w:abstractNum>
  <w:abstractNum w:abstractNumId="77">
    <w:nsid w:val="24E60401"/>
    <w:multiLevelType w:val="hybridMultilevel"/>
    <w:lvl w:ilvl="0">
      <w:lvlJc w:val="left"/>
      <w:lvlText w:val="•"/>
      <w:numFmt w:val="bullet"/>
      <w:start w:val="1"/>
    </w:lvl>
  </w:abstractNum>
  <w:abstractNum w:abstractNumId="78">
    <w:nsid w:val="2A6AD9BE"/>
    <w:multiLevelType w:val="hybridMultilevel"/>
    <w:lvl w:ilvl="0">
      <w:lvlJc w:val="left"/>
      <w:lvlText w:val="•"/>
      <w:numFmt w:val="bullet"/>
      <w:start w:val="1"/>
    </w:lvl>
  </w:abstractNum>
  <w:abstractNum w:abstractNumId="79">
    <w:nsid w:val="BAAC1B4"/>
    <w:multiLevelType w:val="hybridMultilevel"/>
    <w:lvl w:ilvl="0">
      <w:lvlJc w:val="left"/>
      <w:lvlText w:val="•"/>
      <w:numFmt w:val="bullet"/>
      <w:start w:val="1"/>
    </w:lvl>
  </w:abstractNum>
  <w:abstractNum w:abstractNumId="80">
    <w:nsid w:val="36B2ACBC"/>
    <w:multiLevelType w:val="hybridMultilevel"/>
    <w:lvl w:ilvl="0">
      <w:lvlJc w:val="left"/>
      <w:lvlText w:val="•"/>
      <w:numFmt w:val="bullet"/>
      <w:start w:val="1"/>
    </w:lvl>
  </w:abstractNum>
  <w:abstractNum w:abstractNumId="81">
    <w:nsid w:val="779D8544"/>
    <w:multiLevelType w:val="hybridMultilevel"/>
    <w:lvl w:ilvl="0">
      <w:lvlJc w:val="left"/>
      <w:lvlText w:val="•"/>
      <w:numFmt w:val="bullet"/>
      <w:start w:val="1"/>
    </w:lvl>
  </w:abstractNum>
  <w:abstractNum w:abstractNumId="82">
    <w:nsid w:val="4AB26E78"/>
    <w:multiLevelType w:val="hybridMultilevel"/>
    <w:lvl w:ilvl="0">
      <w:lvlJc w:val="left"/>
      <w:lvlText w:val="•"/>
      <w:numFmt w:val="bullet"/>
      <w:start w:val="1"/>
    </w:lvl>
  </w:abstractNum>
  <w:abstractNum w:abstractNumId="83">
    <w:nsid w:val="21FAA2FA"/>
    <w:multiLevelType w:val="hybridMultilevel"/>
    <w:lvl w:ilvl="0">
      <w:lvlJc w:val="left"/>
      <w:lvlText w:val="•"/>
      <w:numFmt w:val="bullet"/>
      <w:start w:val="1"/>
    </w:lvl>
  </w:abstractNum>
  <w:abstractNum w:abstractNumId="84">
    <w:nsid w:val="5451CF49"/>
    <w:multiLevelType w:val="hybridMultilevel"/>
    <w:lvl w:ilvl="0">
      <w:lvlJc w:val="left"/>
      <w:lvlText w:val="•"/>
      <w:numFmt w:val="bullet"/>
      <w:start w:val="1"/>
    </w:lvl>
  </w:abstractNum>
  <w:abstractNum w:abstractNumId="85">
    <w:nsid w:val="6181EF69"/>
    <w:multiLevelType w:val="hybridMultilevel"/>
    <w:lvl w:ilvl="0">
      <w:lvlJc w:val="left"/>
      <w:lvlText w:val="•"/>
      <w:numFmt w:val="bullet"/>
      <w:start w:val="1"/>
    </w:lvl>
  </w:abstractNum>
  <w:abstractNum w:abstractNumId="86">
    <w:nsid w:val="3E6400E6"/>
    <w:multiLevelType w:val="hybridMultilevel"/>
    <w:lvl w:ilvl="0">
      <w:lvlJc w:val="left"/>
      <w:lvlText w:val="(%1)"/>
      <w:numFmt w:val="lowerLetter"/>
      <w:start w:val="1"/>
    </w:lvl>
  </w:abstractNum>
  <w:abstractNum w:abstractNumId="87">
    <w:nsid w:val="14217E23"/>
    <w:multiLevelType w:val="hybridMultilevel"/>
    <w:lvl w:ilvl="0">
      <w:lvlJc w:val="left"/>
      <w:lvlText w:val="•"/>
      <w:numFmt w:val="bullet"/>
      <w:start w:val="1"/>
    </w:lvl>
  </w:abstractNum>
  <w:abstractNum w:abstractNumId="88">
    <w:nsid w:val="710757D0"/>
    <w:multiLevelType w:val="hybridMultilevel"/>
    <w:lvl w:ilvl="0">
      <w:lvlJc w:val="left"/>
      <w:lvlText w:val="•"/>
      <w:numFmt w:val="bullet"/>
      <w:start w:val="1"/>
    </w:lvl>
  </w:abstractNum>
  <w:abstractNum w:abstractNumId="89">
    <w:nsid w:val="5015CD1A"/>
    <w:multiLevelType w:val="hybridMultilevel"/>
    <w:lvl w:ilvl="0">
      <w:lvlJc w:val="left"/>
      <w:lvlText w:val="•"/>
      <w:numFmt w:val="bullet"/>
      <w:start w:val="1"/>
    </w:lvl>
  </w:abstractNum>
  <w:abstractNum w:abstractNumId="90">
    <w:nsid w:val="424479DA"/>
    <w:multiLevelType w:val="hybridMultilevel"/>
    <w:lvl w:ilvl="0">
      <w:lvlJc w:val="left"/>
      <w:lvlText w:val="•"/>
      <w:numFmt w:val="bullet"/>
      <w:start w:val="1"/>
    </w:lvl>
  </w:abstractNum>
  <w:abstractNum w:abstractNumId="91">
    <w:nsid w:val="1A9A9E69"/>
    <w:multiLevelType w:val="hybridMultilevel"/>
    <w:lvl w:ilvl="0">
      <w:lvlJc w:val="left"/>
      <w:lvlText w:val="•"/>
      <w:numFmt w:val="bullet"/>
      <w:start w:val="1"/>
    </w:lvl>
  </w:abstractNum>
  <w:abstractNum w:abstractNumId="92">
    <w:nsid w:val="475E256A"/>
    <w:multiLevelType w:val="hybridMultilevel"/>
    <w:lvl w:ilvl="0">
      <w:lvlJc w:val="left"/>
      <w:lvlText w:val="•"/>
      <w:numFmt w:val="bullet"/>
      <w:start w:val="1"/>
    </w:lvl>
  </w:abstractNum>
  <w:abstractNum w:abstractNumId="93">
    <w:nsid w:val="368DB37E"/>
    <w:multiLevelType w:val="hybridMultilevel"/>
    <w:lvl w:ilvl="0">
      <w:lvlJc w:val="left"/>
      <w:lvlText w:val="•"/>
      <w:numFmt w:val="bullet"/>
      <w:start w:val="1"/>
    </w:lvl>
  </w:abstractNum>
  <w:abstractNum w:abstractNumId="94">
    <w:nsid w:val="6A3B714C"/>
    <w:multiLevelType w:val="hybridMultilevel"/>
    <w:lvl w:ilvl="0">
      <w:lvlJc w:val="left"/>
      <w:lvlText w:val="(%1)"/>
      <w:numFmt w:val="lowerRoman"/>
      <w:start w:val="1"/>
    </w:lvl>
  </w:abstractNum>
  <w:abstractNum w:abstractNumId="95">
    <w:nsid w:val="327B517E"/>
    <w:multiLevelType w:val="hybridMultilevel"/>
    <w:lvl w:ilvl="0">
      <w:lvlJc w:val="left"/>
      <w:lvlText w:val="•"/>
      <w:numFmt w:val="bullet"/>
      <w:start w:val="1"/>
    </w:lvl>
  </w:abstractNum>
  <w:abstractNum w:abstractNumId="96">
    <w:nsid w:val="1F461B51"/>
    <w:multiLevelType w:val="hybridMultilevel"/>
    <w:lvl w:ilvl="0">
      <w:lvlJc w:val="left"/>
      <w:lvlText w:val="•"/>
      <w:numFmt w:val="bullet"/>
      <w:start w:val="1"/>
    </w:lvl>
  </w:abstractNum>
  <w:abstractNum w:abstractNumId="97">
    <w:nsid w:val="29BACF25"/>
    <w:multiLevelType w:val="hybridMultilevel"/>
    <w:lvl w:ilvl="0">
      <w:lvlJc w:val="left"/>
      <w:lvlText w:val="•"/>
      <w:numFmt w:val="bullet"/>
      <w:start w:val="1"/>
    </w:lvl>
    <w:lvl w:ilvl="1">
      <w:lvlJc w:val="left"/>
      <w:lvlText w:val=","/>
      <w:numFmt w:val="bullet"/>
      <w:start w:val="1"/>
    </w:lvl>
  </w:abstractNum>
  <w:abstractNum w:abstractNumId="98">
    <w:nsid w:val="5D5BABB3"/>
    <w:multiLevelType w:val="hybridMultilevel"/>
    <w:lvl w:ilvl="0">
      <w:lvlJc w:val="left"/>
      <w:lvlText w:val="%1."/>
      <w:numFmt w:val="decimal"/>
      <w:start w:val="701"/>
    </w:lvl>
  </w:abstractNum>
  <w:abstractNum w:abstractNumId="99">
    <w:nsid w:val="51BF6B48"/>
    <w:multiLevelType w:val="hybridMultilevel"/>
    <w:lvl w:ilvl="0">
      <w:lvlJc w:val="left"/>
      <w:lvlText w:val="•"/>
      <w:numFmt w:val="bullet"/>
      <w:start w:val="1"/>
    </w:lvl>
  </w:abstractNum>
  <w:abstractNum w:abstractNumId="100">
    <w:nsid w:val="7E0F6384"/>
    <w:multiLevelType w:val="hybridMultilevel"/>
    <w:lvl w:ilvl="0">
      <w:lvlJc w:val="left"/>
      <w:lvlText w:val="•"/>
      <w:numFmt w:val="bullet"/>
      <w:start w:val="1"/>
    </w:lvl>
  </w:abstractNum>
  <w:abstractNum w:abstractNumId="101">
    <w:nsid w:val="2B4B8B53"/>
    <w:multiLevelType w:val="hybridMultilevel"/>
    <w:lvl w:ilvl="0">
      <w:lvlJc w:val="left"/>
      <w:lvlText w:val="•"/>
      <w:numFmt w:val="bullet"/>
      <w:start w:val="1"/>
    </w:lvl>
  </w:abstractNum>
  <w:abstractNum w:abstractNumId="102">
    <w:nsid w:val="72E3413A"/>
    <w:multiLevelType w:val="hybridMultilevel"/>
    <w:lvl w:ilvl="0">
      <w:lvlJc w:val="left"/>
      <w:lvlText w:val="•"/>
      <w:numFmt w:val="bullet"/>
      <w:start w:val="1"/>
    </w:lvl>
  </w:abstractNum>
  <w:abstractNum w:abstractNumId="103">
    <w:nsid w:val="116AE494"/>
    <w:multiLevelType w:val="hybridMultilevel"/>
    <w:lvl w:ilvl="0">
      <w:lvlJc w:val="left"/>
      <w:lvlText w:val="•"/>
      <w:numFmt w:val="bullet"/>
      <w:start w:val="1"/>
    </w:lvl>
  </w:abstractNum>
  <w:abstractNum w:abstractNumId="104">
    <w:nsid w:val="3494B2FB"/>
    <w:multiLevelType w:val="hybridMultilevel"/>
    <w:lvl w:ilvl="0">
      <w:lvlJc w:val="left"/>
      <w:lvlText w:val="•"/>
      <w:numFmt w:val="bullet"/>
      <w:start w:val="1"/>
    </w:lvl>
  </w:abstractNum>
  <w:abstractNum w:abstractNumId="105">
    <w:nsid w:val="B13A31"/>
    <w:multiLevelType w:val="hybridMultilevel"/>
    <w:lvl w:ilvl="0">
      <w:lvlJc w:val="left"/>
      <w:lvlText w:val="•"/>
      <w:numFmt w:val="bullet"/>
      <w:start w:val="1"/>
    </w:lvl>
  </w:abstractNum>
  <w:abstractNum w:abstractNumId="106">
    <w:nsid w:val="64429599"/>
    <w:multiLevelType w:val="hybridMultilevel"/>
    <w:lvl w:ilvl="0">
      <w:lvlJc w:val="left"/>
      <w:lvlText w:val="%1)"/>
      <w:numFmt w:val="lowerLetter"/>
      <w:start w:val="1"/>
    </w:lvl>
  </w:abstractNum>
  <w:abstractNum w:abstractNumId="107">
    <w:nsid w:val="631F1690"/>
    <w:multiLevelType w:val="hybridMultilevel"/>
    <w:lvl w:ilvl="0">
      <w:lvlJc w:val="left"/>
      <w:lvlText w:val="%1)"/>
      <w:numFmt w:val="lowerLetter"/>
      <w:start w:val="1"/>
    </w:lvl>
  </w:abstractNum>
  <w:abstractNum w:abstractNumId="108">
    <w:nsid w:val="25973E32"/>
    <w:multiLevelType w:val="hybridMultilevel"/>
    <w:lvl w:ilvl="0">
      <w:lvlJc w:val="left"/>
      <w:lvlText w:val="•"/>
      <w:numFmt w:val="bullet"/>
      <w:start w:val="1"/>
    </w:lvl>
  </w:abstractNum>
  <w:abstractNum w:abstractNumId="109">
    <w:nsid w:val="EAD6F57"/>
    <w:multiLevelType w:val="hybridMultilevel"/>
    <w:lvl w:ilvl="0">
      <w:lvlJc w:val="left"/>
      <w:lvlText w:val="•"/>
      <w:numFmt w:val="bullet"/>
      <w:start w:val="1"/>
    </w:lvl>
  </w:abstractNum>
  <w:abstractNum w:abstractNumId="110">
    <w:nsid w:val="6EC9D844"/>
    <w:multiLevelType w:val="hybridMultilevel"/>
    <w:lvl w:ilvl="0">
      <w:lvlJc w:val="left"/>
      <w:lvlText w:val="%1)"/>
      <w:numFmt w:val="lowerLetter"/>
      <w:start w:val="1"/>
    </w:lvl>
  </w:abstractNum>
  <w:abstractNum w:abstractNumId="111">
    <w:nsid w:val="5C49EAEE"/>
    <w:multiLevelType w:val="hybridMultilevel"/>
    <w:lvl w:ilvl="0">
      <w:lvlJc w:val="left"/>
      <w:lvlText w:val="$"/>
      <w:numFmt w:val="bullet"/>
      <w:start w:val="1"/>
    </w:lvl>
  </w:abstractNum>
  <w:abstractNum w:abstractNumId="112">
    <w:nsid w:val="64AF49B"/>
    <w:multiLevelType w:val="hybridMultilevel"/>
    <w:lvl w:ilvl="0">
      <w:lvlJc w:val="left"/>
      <w:lvlText w:val="$"/>
      <w:numFmt w:val="bullet"/>
      <w:start w:val="1"/>
    </w:lvl>
  </w:abstractNum>
  <w:abstractNum w:abstractNumId="113">
    <w:nsid w:val="397C46BC"/>
    <w:multiLevelType w:val="hybridMultilevel"/>
    <w:lvl w:ilvl="0">
      <w:lvlJc w:val="left"/>
      <w:lvlText w:val="•"/>
      <w:numFmt w:val="bullet"/>
      <w:start w:val="1"/>
    </w:lvl>
  </w:abstractNum>
  <w:abstractNum w:abstractNumId="114">
    <w:nsid w:val="7E448DE9"/>
    <w:multiLevelType w:val="hybridMultilevel"/>
    <w:lvl w:ilvl="0">
      <w:lvlJc w:val="left"/>
      <w:lvlText w:val="(%1)"/>
      <w:numFmt w:val="lowerRoman"/>
      <w:start w:val="2"/>
    </w:lvl>
  </w:abstractNum>
  <w:abstractNum w:abstractNumId="115">
    <w:nsid w:val="5A9CC3E5"/>
    <w:multiLevelType w:val="hybridMultilevel"/>
    <w:lvl w:ilvl="0">
      <w:lvlJc w:val="left"/>
      <w:lvlText w:val="(%1)"/>
      <w:numFmt w:val="decimal"/>
      <w:start w:val="2"/>
    </w:lvl>
  </w:abstractNum>
  <w:abstractNum w:abstractNumId="116">
    <w:nsid w:val="1AFE3625"/>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lvl w:ilvl="3">
      <w:lvlJc w:val="left"/>
      <w:lvlText w:val="•"/>
      <w:numFmt w:val="bullet"/>
      <w:start w:val="1"/>
    </w:lvl>
  </w:abstractNum>
  <w:abstractNum w:abstractNumId="117">
    <w:nsid w:val="3CA88ECF"/>
    <w:multiLevelType w:val="hybridMultilevel"/>
    <w:lvl w:ilvl="0">
      <w:lvlJc w:val="left"/>
      <w:lvlText w:val="•"/>
      <w:numFmt w:val="bullet"/>
      <w:start w:val="1"/>
    </w:lvl>
  </w:abstractNum>
  <w:abstractNum w:abstractNumId="118">
    <w:nsid w:val="6EBE4208"/>
    <w:multiLevelType w:val="hybridMultilevel"/>
    <w:lvl w:ilvl="0">
      <w:lvlJc w:val="left"/>
      <w:lvlText w:val="%1."/>
      <w:numFmt w:val="decimal"/>
      <w:start w:val="1"/>
    </w:lvl>
  </w:abstractNum>
  <w:abstractNum w:abstractNumId="119">
    <w:nsid w:val="C058DF5"/>
    <w:multiLevelType w:val="hybridMultilevel"/>
    <w:lvl w:ilvl="0">
      <w:lvlJc w:val="left"/>
      <w:lvlText w:val="•"/>
      <w:numFmt w:val="bullet"/>
      <w:start w:val="1"/>
    </w:lvl>
  </w:abstractNum>
  <w:abstractNum w:abstractNumId="120">
    <w:nsid w:val="CBE5BE9"/>
    <w:multiLevelType w:val="hybridMultilevel"/>
    <w:lvl w:ilvl="0">
      <w:lvlJc w:val="left"/>
      <w:lvlText w:val="•"/>
      <w:numFmt w:val="bullet"/>
      <w:start w:val="1"/>
    </w:lvl>
  </w:abstractNum>
  <w:abstractNum w:abstractNumId="121">
    <w:nsid w:val="3102BBE2"/>
    <w:multiLevelType w:val="hybridMultilevel"/>
    <w:lvl w:ilvl="0">
      <w:lvlJc w:val="left"/>
      <w:lvlText w:val="•"/>
      <w:numFmt w:val="bullet"/>
      <w:start w:val="1"/>
    </w:lvl>
  </w:abstractNum>
  <w:abstractNum w:abstractNumId="122">
    <w:nsid w:val="26A02C5E"/>
    <w:multiLevelType w:val="hybridMultilevel"/>
    <w:lvl w:ilvl="0">
      <w:lvlJc w:val="left"/>
      <w:lvlText w:val="•"/>
      <w:numFmt w:val="bullet"/>
      <w:start w:val="1"/>
    </w:lvl>
  </w:abstractNum>
  <w:abstractNum w:abstractNumId="123">
    <w:nsid w:val="541C8153"/>
    <w:multiLevelType w:val="hybridMultilevel"/>
    <w:lvl w:ilvl="0">
      <w:lvlJc w:val="left"/>
      <w:lvlText w:val="•"/>
      <w:numFmt w:val="bullet"/>
      <w:start w:val="1"/>
    </w:lvl>
  </w:abstractNum>
  <w:abstractNum w:abstractNumId="124">
    <w:nsid w:val="67906F60"/>
    <w:multiLevelType w:val="hybridMultilevel"/>
    <w:lvl w:ilvl="0">
      <w:lvlJc w:val="left"/>
      <w:lvlText w:val="•"/>
      <w:numFmt w:val="bullet"/>
      <w:start w:val="1"/>
    </w:lvl>
  </w:abstractNum>
  <w:abstractNum w:abstractNumId="125">
    <w:nsid w:val="10DB9DAA"/>
    <w:multiLevelType w:val="hybridMultilevel"/>
    <w:lvl w:ilvl="0">
      <w:lvlJc w:val="left"/>
      <w:lvlText w:val="•"/>
      <w:numFmt w:val="bullet"/>
      <w:start w:val="1"/>
    </w:lvl>
  </w:abstractNum>
  <w:abstractNum w:abstractNumId="126">
    <w:nsid w:val="697D2D2"/>
    <w:multiLevelType w:val="hybridMultilevel"/>
    <w:lvl w:ilvl="0">
      <w:lvlJc w:val="left"/>
      <w:lvlText w:val="•"/>
      <w:numFmt w:val="bullet"/>
      <w:start w:val="1"/>
    </w:lvl>
  </w:abstractNum>
  <w:abstractNum w:abstractNumId="127">
    <w:nsid w:val="6D68AB2"/>
    <w:multiLevelType w:val="hybridMultilevel"/>
    <w:lvl w:ilvl="0">
      <w:lvlJc w:val="left"/>
      <w:lvlText w:val="•"/>
      <w:numFmt w:val="bullet"/>
      <w:start w:val="1"/>
    </w:lvl>
  </w:abstractNum>
  <w:abstractNum w:abstractNumId="128">
    <w:nsid w:val="3A966CD0"/>
    <w:multiLevelType w:val="hybridMultilevel"/>
    <w:lvl w:ilvl="0">
      <w:lvlJc w:val="left"/>
      <w:lvlText w:val="•"/>
      <w:numFmt w:val="bullet"/>
      <w:start w:val="1"/>
    </w:lvl>
  </w:abstractNum>
  <w:abstractNum w:abstractNumId="129">
    <w:nsid w:val="63F37E85"/>
    <w:multiLevelType w:val="hybridMultilevel"/>
    <w:lvl w:ilvl="0">
      <w:lvlJc w:val="left"/>
      <w:lvlText w:val="•"/>
      <w:numFmt w:val="bullet"/>
      <w:start w:val="1"/>
    </w:lvl>
  </w:abstractNum>
  <w:abstractNum w:abstractNumId="130">
    <w:nsid w:val="5895F5FA"/>
    <w:multiLevelType w:val="hybridMultilevel"/>
    <w:lvl w:ilvl="0">
      <w:lvlJc w:val="left"/>
      <w:lvlText w:val="•"/>
      <w:numFmt w:val="bullet"/>
      <w:start w:val="1"/>
    </w:lvl>
  </w:abstractNum>
  <w:abstractNum w:abstractNumId="131">
    <w:nsid w:val="38A5D054"/>
    <w:multiLevelType w:val="hybridMultilevel"/>
    <w:lvl w:ilvl="0">
      <w:lvlJc w:val="left"/>
      <w:lvlText w:val="•"/>
      <w:numFmt w:val="bullet"/>
      <w:start w:val="1"/>
    </w:lvl>
  </w:abstractNum>
  <w:abstractNum w:abstractNumId="132">
    <w:nsid w:val="F3F09D8"/>
    <w:multiLevelType w:val="hybridMultilevel"/>
    <w:lvl w:ilvl="0">
      <w:lvlJc w:val="left"/>
      <w:lvlText w:val="%1."/>
      <w:numFmt w:val="decimal"/>
      <w:start w:val="2"/>
    </w:lvl>
  </w:abstractNum>
  <w:abstractNum w:abstractNumId="133">
    <w:nsid w:val="4B793735"/>
    <w:multiLevelType w:val="hybridMultilevel"/>
    <w:lvl w:ilvl="0">
      <w:lvlJc w:val="left"/>
      <w:lvlText w:val="%1."/>
      <w:numFmt w:val="decimal"/>
      <w:start w:val="3"/>
    </w:lvl>
  </w:abstractNum>
  <w:abstractNum w:abstractNumId="134">
    <w:nsid w:val="4A10B4E8"/>
    <w:multiLevelType w:val="hybridMultilevel"/>
    <w:lvl w:ilvl="0">
      <w:lvlJc w:val="left"/>
      <w:lvlText w:val="(%1)"/>
      <w:numFmt w:val="decimal"/>
      <w:start w:val="1"/>
    </w:lvl>
  </w:abstractNum>
  <w:abstractNum w:abstractNumId="135">
    <w:nsid w:val="43D3BCD4"/>
    <w:multiLevelType w:val="hybridMultilevel"/>
    <w:lvl w:ilvl="0">
      <w:lvlJc w:val="left"/>
      <w:lvlText w:val="%1."/>
      <w:numFmt w:val="decimal"/>
      <w:start w:val="4"/>
    </w:lvl>
  </w:abstractNum>
  <w:abstractNum w:abstractNumId="136">
    <w:nsid w:val="4C2A7166"/>
    <w:multiLevelType w:val="hybridMultilevel"/>
    <w:lvl w:ilvl="0">
      <w:lvlJc w:val="left"/>
      <w:lvlText w:val="%1."/>
      <w:numFmt w:val="decimal"/>
      <w:start w:val="5"/>
    </w:lvl>
  </w:abstractNum>
  <w:abstractNum w:abstractNumId="137">
    <w:nsid w:val="2E534A82"/>
    <w:multiLevelType w:val="hybridMultilevel"/>
    <w:lvl w:ilvl="0">
      <w:lvlJc w:val="left"/>
      <w:lvlText w:val="%1."/>
      <w:numFmt w:val="decimal"/>
      <w:start w:val="6"/>
    </w:lvl>
  </w:abstractNum>
  <w:abstractNum w:abstractNumId="138">
    <w:nsid w:val="26F2D364"/>
    <w:multiLevelType w:val="hybridMultilevel"/>
    <w:lvl w:ilvl="0">
      <w:lvlJc w:val="left"/>
      <w:lvlText w:val="%1."/>
      <w:numFmt w:val="decimal"/>
      <w:start w:val="8"/>
    </w:lvl>
  </w:abstractNum>
  <w:abstractNum w:abstractNumId="139">
    <w:nsid w:val="71C1AF98"/>
    <w:multiLevelType w:val="hybridMultilevel"/>
    <w:lvl w:ilvl="0">
      <w:lvlJc w:val="left"/>
      <w:lvlText w:val="%1."/>
      <w:numFmt w:val="decimal"/>
      <w:start w:val="9"/>
    </w:lvl>
  </w:abstractNum>
  <w:abstractNum w:abstractNumId="140">
    <w:nsid w:val="3D00B9D9"/>
    <w:multiLevelType w:val="hybridMultilevel"/>
    <w:lvl w:ilvl="0">
      <w:lvlJc w:val="left"/>
      <w:lvlText w:val="(%1)"/>
      <w:numFmt w:val="decimal"/>
      <w:start w:val="1"/>
    </w:lvl>
  </w:abstractNum>
  <w:abstractNum w:abstractNumId="141">
    <w:nsid w:val="15BCABA8"/>
    <w:multiLevelType w:val="hybridMultilevel"/>
    <w:lvl w:ilvl="0">
      <w:lvlJc w:val="left"/>
      <w:lvlText w:val="(%1)"/>
      <w:numFmt w:val="decimal"/>
      <w:start w:val="1"/>
    </w:lvl>
  </w:abstractNum>
  <w:abstractNum w:abstractNumId="142">
    <w:nsid w:val="4E0B9A87"/>
    <w:multiLevelType w:val="hybridMultilevel"/>
    <w:lvl w:ilvl="0">
      <w:lvlJc w:val="left"/>
      <w:lvlText w:val="%1."/>
      <w:numFmt w:val="decimal"/>
      <w:start w:val="12"/>
    </w:lvl>
  </w:abstractNum>
  <w:abstractNum w:abstractNumId="143">
    <w:nsid w:val="434BAE75"/>
    <w:multiLevelType w:val="hybridMultilevel"/>
    <w:lvl w:ilvl="0">
      <w:lvlJc w:val="left"/>
      <w:lvlText w:val="(%1)"/>
      <w:numFmt w:val="decimal"/>
      <w:start w:val="1"/>
    </w:lvl>
  </w:abstractNum>
  <w:abstractNum w:abstractNumId="144">
    <w:nsid w:val="4F38F265"/>
    <w:multiLevelType w:val="hybridMultilevel"/>
    <w:lvl w:ilvl="0">
      <w:lvlJc w:val="left"/>
      <w:lvlText w:val="%1."/>
      <w:numFmt w:val="decimal"/>
      <w:start w:val="13"/>
    </w:lvl>
  </w:abstractNum>
  <w:abstractNum w:abstractNumId="145">
    <w:nsid w:val="4C502870"/>
    <w:multiLevelType w:val="hybridMultilevel"/>
    <w:lvl w:ilvl="0">
      <w:lvlJc w:val="left"/>
      <w:lvlText w:val="(%1)"/>
      <w:numFmt w:val="decimal"/>
      <w:start w:val="1"/>
    </w:lvl>
  </w:abstractNum>
  <w:abstractNum w:abstractNumId="146">
    <w:nsid w:val="1DE8725A"/>
    <w:multiLevelType w:val="hybridMultilevel"/>
    <w:lvl w:ilvl="0">
      <w:lvlJc w:val="left"/>
      <w:lvlText w:val="(%1)"/>
      <w:numFmt w:val="lowerLetter"/>
      <w:start w:val="1"/>
    </w:lvl>
  </w:abstractNum>
  <w:abstractNum w:abstractNumId="147">
    <w:nsid w:val="6A37288A"/>
    <w:multiLevelType w:val="hybridMultilevel"/>
    <w:lvl w:ilvl="0">
      <w:lvlJc w:val="left"/>
      <w:lvlText w:val="%1."/>
      <w:numFmt w:val="decimal"/>
      <w:start w:val="14"/>
    </w:lvl>
  </w:abstractNum>
  <w:abstractNum w:abstractNumId="148">
    <w:nsid w:val="8F8B73F"/>
    <w:multiLevelType w:val="hybridMultilevel"/>
    <w:lvl w:ilvl="0">
      <w:lvlJc w:val="left"/>
      <w:lvlText w:val="%1."/>
      <w:numFmt w:val="decimal"/>
      <w:start w:val="15"/>
    </w:lvl>
  </w:abstractNum>
  <w:abstractNum w:abstractNumId="149">
    <w:nsid w:val="CA6B462"/>
    <w:multiLevelType w:val="hybridMultilevel"/>
    <w:lvl w:ilvl="0">
      <w:lvlJc w:val="left"/>
      <w:lvlText w:val="%1."/>
      <w:numFmt w:val="decimal"/>
      <w:start w:val="16"/>
    </w:lvl>
  </w:abstractNum>
  <w:abstractNum w:abstractNumId="150">
    <w:nsid w:val="763CB680"/>
    <w:multiLevelType w:val="hybridMultilevel"/>
    <w:lvl w:ilvl="0">
      <w:lvlJc w:val="left"/>
      <w:lvlText w:val="(%1)"/>
      <w:numFmt w:val="decimal"/>
      <w:start w:val="3"/>
    </w:lvl>
  </w:abstractNum>
  <w:abstractNum w:abstractNumId="151">
    <w:nsid w:val="15B71329"/>
    <w:multiLevelType w:val="hybridMultilevel"/>
    <w:lvl w:ilvl="0">
      <w:lvlJc w:val="left"/>
      <w:lvlText w:val="(%1)"/>
      <w:numFmt w:val="decimal"/>
      <w:start w:val="1"/>
    </w:lvl>
  </w:abstractNum>
  <w:abstractNum w:abstractNumId="152">
    <w:nsid w:val="3DA97044"/>
    <w:multiLevelType w:val="hybridMultilevel"/>
    <w:lvl w:ilvl="0">
      <w:lvlJc w:val="left"/>
      <w:lvlText w:val="%1."/>
      <w:numFmt w:val="decimal"/>
      <w:start w:val="17"/>
    </w:lvl>
  </w:abstractNum>
  <w:abstractNum w:abstractNumId="153">
    <w:nsid w:val="1CDCE2DE"/>
    <w:multiLevelType w:val="hybridMultilevel"/>
    <w:lvl w:ilvl="0">
      <w:lvlJc w:val="left"/>
      <w:lvlText w:val="%1."/>
      <w:numFmt w:val="decimal"/>
      <w:start w:val="18"/>
    </w:lvl>
  </w:abstractNum>
  <w:abstractNum w:abstractNumId="154">
    <w:nsid w:val="69D3947C"/>
    <w:multiLevelType w:val="hybridMultilevel"/>
    <w:lvl w:ilvl="0">
      <w:lvlJc w:val="left"/>
      <w:lvlText w:val="(%1)"/>
      <w:numFmt w:val="decimal"/>
      <w:start w:val="1"/>
    </w:lvl>
  </w:abstractNum>
  <w:abstractNum w:abstractNumId="155">
    <w:nsid w:val="2539DFA5"/>
    <w:multiLevelType w:val="hybridMultilevel"/>
    <w:lvl w:ilvl="0">
      <w:lvlJc w:val="left"/>
      <w:lvlText w:val="%1."/>
      <w:numFmt w:val="decimal"/>
      <w:start w:val="19"/>
    </w:lvl>
  </w:abstractNum>
  <w:abstractNum w:abstractNumId="156">
    <w:nsid w:val="2DB88089"/>
    <w:multiLevelType w:val="hybridMultilevel"/>
    <w:lvl w:ilvl="0">
      <w:lvlJc w:val="left"/>
      <w:lvlText w:val="%1."/>
      <w:numFmt w:val="decimal"/>
      <w:start w:val="20"/>
    </w:lvl>
  </w:abstractNum>
  <w:abstractNum w:abstractNumId="157">
    <w:nsid w:val="706B674E"/>
    <w:multiLevelType w:val="hybridMultilevel"/>
    <w:lvl w:ilvl="0">
      <w:lvlJc w:val="left"/>
      <w:lvlText w:val="%1."/>
      <w:numFmt w:val="decimal"/>
      <w:start w:val="21"/>
    </w:lvl>
  </w:abstractNum>
  <w:abstractNum w:abstractNumId="158">
    <w:nsid w:val="2C106A57"/>
    <w:multiLevelType w:val="hybridMultilevel"/>
    <w:lvl w:ilvl="0">
      <w:lvlJc w:val="left"/>
      <w:lvlText w:val="%1."/>
      <w:numFmt w:val="decimal"/>
      <w:start w:val="22"/>
    </w:lvl>
  </w:abstractNum>
  <w:abstractNum w:abstractNumId="159">
    <w:nsid w:val="684EED59"/>
    <w:multiLevelType w:val="hybridMultilevel"/>
    <w:lvl w:ilvl="0">
      <w:lvlJc w:val="left"/>
      <w:lvlText w:val="%1."/>
      <w:numFmt w:val="decimal"/>
      <w:start w:val="23"/>
    </w:lvl>
  </w:abstractNum>
  <w:abstractNum w:abstractNumId="160">
    <w:nsid w:val="545EE5D3"/>
    <w:multiLevelType w:val="hybridMultilevel"/>
    <w:lvl w:ilvl="0">
      <w:lvlJc w:val="left"/>
      <w:lvlText w:val="•"/>
      <w:numFmt w:val="bullet"/>
      <w:start w:val="1"/>
    </w:lvl>
  </w:abstractNum>
  <w:abstractNum w:abstractNumId="161">
    <w:nsid w:val="4A66051"/>
    <w:multiLevelType w:val="hybridMultilevel"/>
    <w:lvl w:ilvl="0">
      <w:lvlJc w:val="left"/>
      <w:lvlText w:val="(%1)"/>
      <w:numFmt w:val="lowerRoman"/>
      <w:start w:val="2"/>
    </w:lvl>
  </w:abstractNum>
  <w:abstractNum w:abstractNumId="162">
    <w:nsid w:val="20F4BDAD"/>
    <w:multiLevelType w:val="hybridMultilevel"/>
    <w:lvl w:ilvl="0">
      <w:lvlJc w:val="left"/>
      <w:lvlText w:val="*"/>
      <w:numFmt w:val="bullet"/>
      <w:start w:val="1"/>
    </w:lvl>
  </w:abstractNum>
  <w:abstractNum w:abstractNumId="163">
    <w:nsid w:val="639DEFAC"/>
    <w:multiLevelType w:val="hybridMultilevel"/>
    <w:lvl w:ilvl="0">
      <w:lvlJc w:val="left"/>
      <w:lvlText w:val="+"/>
      <w:numFmt w:val="bullet"/>
      <w:start w:val="1"/>
    </w:lvl>
  </w:abstractNum>
  <w:abstractNum w:abstractNumId="164">
    <w:nsid w:val="501F9786"/>
    <w:multiLevelType w:val="hybridMultilevel"/>
    <w:lvl w:ilvl="0">
      <w:lvlJc w:val="left"/>
      <w:lvlText w:val="#"/>
      <w:numFmt w:val="bullet"/>
      <w:start w:val="1"/>
    </w:lvl>
  </w:abstractNum>
  <w:abstractNum w:abstractNumId="165">
    <w:nsid w:val="6B057295"/>
    <w:multiLevelType w:val="hybridMultilevel"/>
    <w:lvl w:ilvl="0">
      <w:lvlJc w:val="left"/>
      <w:lvlText w:val="(%1)"/>
      <w:numFmt w:val="decimal"/>
      <w:start w:val="1"/>
    </w:lvl>
  </w:abstractNum>
  <w:abstractNum w:abstractNumId="166">
    <w:nsid w:val="2771AC80"/>
    <w:multiLevelType w:val="hybridMultilevel"/>
    <w:lvl w:ilvl="0">
      <w:lvlJc w:val="left"/>
      <w:lvlText w:val="(%1)"/>
      <w:numFmt w:val="decimal"/>
      <w:start w:val="1"/>
    </w:lvl>
  </w:abstractNum>
  <w:abstractNum w:abstractNumId="167">
    <w:nsid w:val="1C4A08EC"/>
    <w:multiLevelType w:val="hybridMultilevel"/>
    <w:lvl w:ilvl="0">
      <w:lvlJc w:val="left"/>
      <w:lvlText w:val="(%1)"/>
      <w:numFmt w:val="decimal"/>
      <w:start w:val="2"/>
    </w:lvl>
  </w:abstractNum>
  <w:abstractNum w:abstractNumId="168">
    <w:nsid w:val="1958BD17"/>
    <w:multiLevelType w:val="hybridMultilevel"/>
    <w:lvl w:ilvl="0">
      <w:lvlJc w:val="left"/>
      <w:lvlText w:val="(%1)"/>
      <w:numFmt w:val="upperLetter"/>
      <w:start w:val="1"/>
    </w:lvl>
  </w:abstractNum>
  <w:abstractNum w:abstractNumId="169">
    <w:nsid w:val="4E647FE4"/>
    <w:multiLevelType w:val="hybridMultilevel"/>
    <w:lvl w:ilvl="0">
      <w:lvlJc w:val="left"/>
      <w:lvlText w:val="(%1)"/>
      <w:numFmt w:val="upperLetter"/>
      <w:start w:val="4"/>
    </w:lvl>
  </w:abstractNum>
  <w:abstractNum w:abstractNumId="170">
    <w:nsid w:val="E0BB885"/>
    <w:multiLevelType w:val="hybridMultilevel"/>
    <w:lvl w:ilvl="0">
      <w:lvlJc w:val="left"/>
      <w:lvlText w:val="%1."/>
      <w:numFmt w:val="decimal"/>
      <w:start w:val="1"/>
    </w:lvl>
  </w:abstractNum>
  <w:abstractNum w:abstractNumId="171">
    <w:nsid w:val="565976F1"/>
    <w:multiLevelType w:val="hybridMultilevel"/>
    <w:lvl w:ilvl="0">
      <w:lvlJc w:val="left"/>
      <w:lvlText w:val="(%1)"/>
      <w:numFmt w:val="lowerLetter"/>
      <w:start w:val="2"/>
    </w:lvl>
  </w:abstractNum>
  <w:abstractNum w:abstractNumId="172">
    <w:nsid w:val="64212B8C"/>
    <w:multiLevelType w:val="hybridMultilevel"/>
    <w:lvl w:ilvl="0">
      <w:lvlJc w:val="left"/>
      <w:lvlText w:val="%1"/>
      <w:numFmt w:val="decimal"/>
      <w:start w:val="41"/>
    </w:lvl>
  </w:abstractNum>
  <w:abstractNum w:abstractNumId="173">
    <w:nsid w:val="5C17530C"/>
    <w:multiLevelType w:val="hybridMultilevel"/>
    <w:lvl w:ilvl="0">
      <w:lvlJc w:val="left"/>
      <w:lvlText w:val="%1."/>
      <w:numFmt w:val="decimal"/>
      <w:start w:val="2"/>
    </w:lvl>
  </w:abstractNum>
  <w:abstractNum w:abstractNumId="174">
    <w:nsid w:val="19A52566"/>
    <w:multiLevelType w:val="hybridMultilevel"/>
    <w:lvl w:ilvl="0">
      <w:lvlJc w:val="left"/>
      <w:lvlText w:val="%1."/>
      <w:numFmt w:val="decimal"/>
      <w:start w:val="3"/>
    </w:lvl>
  </w:abstractNum>
  <w:abstractNum w:abstractNumId="175">
    <w:nsid w:val="335A1DF1"/>
    <w:multiLevelType w:val="hybridMultilevel"/>
    <w:lvl w:ilvl="0">
      <w:lvlJc w:val="left"/>
      <w:lvlText w:val="(%1)"/>
      <w:numFmt w:val="lowerRoman"/>
      <w:start w:val="1"/>
    </w:lvl>
  </w:abstractNum>
  <w:abstractNum w:abstractNumId="176">
    <w:nsid w:val="28677B7C"/>
    <w:multiLevelType w:val="hybridMultilevel"/>
    <w:lvl w:ilvl="0">
      <w:lvlJc w:val="left"/>
      <w:lvlText w:val="(%1)"/>
      <w:numFmt w:val="lowerRoman"/>
      <w:start w:val="3"/>
    </w:lvl>
  </w:abstractNum>
  <w:abstractNum w:abstractNumId="177">
    <w:nsid w:val="378D97C0"/>
    <w:multiLevelType w:val="hybridMultilevel"/>
    <w:lvl w:ilvl="0">
      <w:lvlJc w:val="left"/>
      <w:lvlText w:val="(%1)"/>
      <w:numFmt w:val="lowerRoman"/>
      <w:start w:val="1"/>
    </w:lvl>
  </w:abstractNum>
  <w:abstractNum w:abstractNumId="178">
    <w:nsid w:val="1D91467C"/>
    <w:multiLevelType w:val="hybridMultilevel"/>
    <w:lvl w:ilvl="0">
      <w:lvlJc w:val="left"/>
      <w:lvlText w:val="(%1)"/>
      <w:numFmt w:val="lowerRoman"/>
      <w:start w:val="3"/>
    </w:lvl>
  </w:abstractNum>
  <w:abstractNum w:abstractNumId="179">
    <w:nsid w:val="316032BB"/>
    <w:multiLevelType w:val="hybridMultilevel"/>
    <w:lvl w:ilvl="0">
      <w:lvlJc w:val="left"/>
      <w:lvlText w:val="(%1)"/>
      <w:numFmt w:val="lowerRoman"/>
      <w:start w:val="1"/>
    </w:lvl>
  </w:abstractNum>
  <w:abstractNum w:abstractNumId="180">
    <w:nsid w:val="44344C22"/>
    <w:multiLevelType w:val="hybridMultilevel"/>
    <w:lvl w:ilvl="0">
      <w:lvlJc w:val="left"/>
      <w:lvlText w:val="(%1)"/>
      <w:numFmt w:val="lowerRoman"/>
      <w:start w:val="2"/>
    </w:lvl>
  </w:abstractNum>
  <w:abstractNum w:abstractNumId="181">
    <w:nsid w:val="13CDFCFC"/>
    <w:multiLevelType w:val="hybridMultilevel"/>
    <w:lvl w:ilvl="0">
      <w:lvlJc w:val="left"/>
      <w:lvlText w:val="%1."/>
      <w:numFmt w:val="decimal"/>
      <w:start w:val="4"/>
    </w:lvl>
  </w:abstractNum>
  <w:abstractNum w:abstractNumId="182">
    <w:nsid w:val="471745E4"/>
    <w:multiLevelType w:val="hybridMultilevel"/>
    <w:lvl w:ilvl="0">
      <w:lvlJc w:val="left"/>
      <w:lvlText w:val="(%1)"/>
      <w:numFmt w:val="lowerRoman"/>
      <w:start w:val="1"/>
    </w:lvl>
  </w:abstractNum>
  <w:abstractNum w:abstractNumId="183">
    <w:nsid w:val="1DDBC66"/>
    <w:multiLevelType w:val="hybridMultilevel"/>
    <w:lvl w:ilvl="0">
      <w:lvlJc w:val="left"/>
      <w:lvlText w:val="%1."/>
      <w:numFmt w:val="decimal"/>
      <w:start w:val="5"/>
    </w:lvl>
  </w:abstractNum>
  <w:abstractNum w:abstractNumId="184">
    <w:nsid w:val="30AADFDA"/>
    <w:multiLevelType w:val="hybridMultilevel"/>
    <w:lvl w:ilvl="0">
      <w:lvlJc w:val="left"/>
      <w:lvlText w:val="(%1)"/>
      <w:numFmt w:val="lowerRoman"/>
      <w:start w:val="2"/>
    </w:lvl>
  </w:abstractNum>
  <w:abstractNum w:abstractNumId="185">
    <w:nsid w:val="30EADA61"/>
    <w:multiLevelType w:val="hybridMultilevel"/>
    <w:lvl w:ilvl="0">
      <w:lvlJc w:val="left"/>
      <w:lvlText w:val="%1."/>
      <w:numFmt w:val="decimal"/>
      <w:start w:val="6"/>
    </w:lvl>
  </w:abstractNum>
  <w:abstractNum w:abstractNumId="186">
    <w:nsid w:val="27179C0B"/>
    <w:multiLevelType w:val="hybridMultilevel"/>
    <w:lvl w:ilvl="0">
      <w:lvlJc w:val="left"/>
      <w:lvlText w:val="(%1)"/>
      <w:numFmt w:val="lowerRoman"/>
      <w:start w:val="1"/>
    </w:lvl>
  </w:abstractNum>
  <w:abstractNum w:abstractNumId="187">
    <w:nsid w:val="5E636063"/>
    <w:multiLevelType w:val="hybridMultilevel"/>
    <w:lvl w:ilvl="0">
      <w:lvlJc w:val="left"/>
      <w:lvlText w:val="%1."/>
      <w:numFmt w:val="decimal"/>
      <w:start w:val="7"/>
    </w:lvl>
  </w:abstractNum>
  <w:abstractNum w:abstractNumId="188">
    <w:nsid w:val="215641AF"/>
    <w:multiLevelType w:val="hybridMultilevel"/>
    <w:lvl w:ilvl="0">
      <w:lvlJc w:val="left"/>
      <w:lvlText w:val="%1."/>
      <w:numFmt w:val="decimal"/>
      <w:start w:val="8"/>
    </w:lvl>
  </w:abstractNum>
  <w:abstractNum w:abstractNumId="189">
    <w:nsid w:val="53280662"/>
    <w:multiLevelType w:val="hybridMultilevel"/>
    <w:lvl w:ilvl="0">
      <w:lvlJc w:val="left"/>
      <w:lvlText w:val="%1."/>
      <w:numFmt w:val="decimal"/>
      <w:start w:val="9"/>
    </w:lvl>
  </w:abstractNum>
  <w:abstractNum w:abstractNumId="190">
    <w:nsid w:val="46B24DBC"/>
    <w:multiLevelType w:val="hybridMultilevel"/>
    <w:lvl w:ilvl="0">
      <w:lvlJc w:val="left"/>
      <w:lvlText w:val="%1."/>
      <w:numFmt w:val="decimal"/>
      <w:start w:val="10"/>
    </w:lvl>
  </w:abstractNum>
  <w:abstractNum w:abstractNumId="191">
    <w:nsid w:val="75B52783"/>
    <w:multiLevelType w:val="hybridMultilevel"/>
    <w:lvl w:ilvl="0">
      <w:lvlJc w:val="left"/>
      <w:lvlText w:val="%1."/>
      <w:numFmt w:val="decimal"/>
      <w:start w:val="11"/>
    </w:lvl>
  </w:abstractNum>
  <w:abstractNum w:abstractNumId="192">
    <w:nsid w:val="57CE66B4"/>
    <w:multiLevelType w:val="hybridMultilevel"/>
    <w:lvl w:ilvl="0">
      <w:lvlJc w:val="left"/>
      <w:lvlText w:val="%1."/>
      <w:numFmt w:val="decimal"/>
      <w:start w:val="12"/>
    </w:lvl>
  </w:abstractNum>
  <w:abstractNum w:abstractNumId="193">
    <w:nsid w:val="67A70B69"/>
    <w:multiLevelType w:val="hybridMultilevel"/>
    <w:lvl w:ilvl="0">
      <w:lvlJc w:val="left"/>
      <w:lvlText w:val="%1."/>
      <w:numFmt w:val="decimal"/>
      <w:start w:val="13"/>
    </w:lvl>
  </w:abstractNum>
  <w:abstractNum w:abstractNumId="194">
    <w:nsid w:val="5953172F"/>
    <w:multiLevelType w:val="hybridMultilevel"/>
    <w:lvl w:ilvl="0">
      <w:lvlJc w:val="left"/>
      <w:lvlText w:val="%1."/>
      <w:numFmt w:val="decimal"/>
      <w:start w:val="14"/>
    </w:lvl>
  </w:abstractNum>
  <w:abstractNum w:abstractNumId="195">
    <w:nsid w:val="27EDFE3A"/>
    <w:multiLevelType w:val="hybridMultilevel"/>
    <w:lvl w:ilvl="0">
      <w:lvlJc w:val="left"/>
      <w:lvlText w:val="%1."/>
      <w:numFmt w:val="decimal"/>
      <w:start w:val="15"/>
    </w:lvl>
  </w:abstractNum>
  <w:abstractNum w:abstractNumId="196">
    <w:nsid w:val="52AC7DFF"/>
    <w:multiLevelType w:val="hybridMultilevel"/>
    <w:lvl w:ilvl="0">
      <w:lvlJc w:val="left"/>
      <w:lvlText w:val="(%1)"/>
      <w:numFmt w:val="lowerRoman"/>
      <w:start w:val="1"/>
    </w:lvl>
  </w:abstractNum>
  <w:abstractNum w:abstractNumId="197">
    <w:nsid w:val="C4C3AF"/>
    <w:multiLevelType w:val="hybridMultilevel"/>
    <w:lvl w:ilvl="0">
      <w:lvlJc w:val="left"/>
      <w:lvlText w:val="(%1)"/>
      <w:numFmt w:val="lowerRoman"/>
      <w:start w:val="1"/>
    </w:lvl>
  </w:abstractNum>
  <w:abstractNum w:abstractNumId="198">
    <w:nsid w:val="44380727"/>
    <w:multiLevelType w:val="hybridMultilevel"/>
    <w:lvl w:ilvl="0">
      <w:lvlJc w:val="left"/>
      <w:lvlText w:val="(%1)"/>
      <w:numFmt w:val="lowerRoman"/>
      <w:start w:val="6"/>
    </w:lvl>
  </w:abstractNum>
  <w:abstractNum w:abstractNumId="199">
    <w:nsid w:val="6C053B16"/>
    <w:multiLevelType w:val="hybridMultilevel"/>
    <w:lvl w:ilvl="0">
      <w:lvlJc w:val="left"/>
      <w:lvlText w:val="%1."/>
      <w:numFmt w:val="decimal"/>
      <w:start w:val="16"/>
    </w:lvl>
  </w:abstractNum>
  <w:abstractNum w:abstractNumId="200">
    <w:nsid w:val="4F294393"/>
    <w:multiLevelType w:val="hybridMultilevel"/>
    <w:lvl w:ilvl="0">
      <w:lvlJc w:val="left"/>
      <w:lvlText w:val="(%1)"/>
      <w:numFmt w:val="lowerRoman"/>
      <w:start w:val="1"/>
    </w:lvl>
  </w:abstractNum>
  <w:abstractNum w:abstractNumId="201">
    <w:nsid w:val="5243BFAC"/>
    <w:multiLevelType w:val="hybridMultilevel"/>
    <w:lvl w:ilvl="0">
      <w:lvlJc w:val="left"/>
      <w:lvlText w:val="%1."/>
      <w:numFmt w:val="decimal"/>
      <w:start w:val="17"/>
    </w:lvl>
  </w:abstractNum>
  <w:abstractNum w:abstractNumId="202">
    <w:nsid w:val="425EB207"/>
    <w:multiLevelType w:val="hybridMultilevel"/>
    <w:lvl w:ilvl="0">
      <w:lvlJc w:val="left"/>
      <w:lvlText w:val="(%1)"/>
      <w:numFmt w:val="lowerRoman"/>
      <w:start w:val="1"/>
    </w:lvl>
  </w:abstractNum>
  <w:abstractNum w:abstractNumId="203">
    <w:nsid w:val="334A6F1F"/>
    <w:multiLevelType w:val="hybridMultilevel"/>
    <w:lvl w:ilvl="0">
      <w:lvlJc w:val="left"/>
      <w:lvlText w:val="(%1)"/>
      <w:numFmt w:val="lowerRoman"/>
      <w:start w:val="1"/>
    </w:lvl>
  </w:abstractNum>
  <w:abstractNum w:abstractNumId="204">
    <w:nsid w:val="2E5B12B8"/>
    <w:multiLevelType w:val="hybridMultilevel"/>
    <w:lvl w:ilvl="0">
      <w:lvlJc w:val="left"/>
      <w:lvlText w:val="%1."/>
      <w:numFmt w:val="decimal"/>
      <w:start w:val="18"/>
    </w:lvl>
  </w:abstractNum>
  <w:abstractNum w:abstractNumId="205">
    <w:nsid w:val="5C03D76D"/>
    <w:multiLevelType w:val="hybridMultilevel"/>
    <w:lvl w:ilvl="0">
      <w:lvlJc w:val="left"/>
      <w:lvlText w:val="(%1)"/>
      <w:numFmt w:val="lowerRoman"/>
      <w:start w:val="1"/>
    </w:lvl>
  </w:abstractNum>
  <w:abstractNum w:abstractNumId="206">
    <w:nsid w:val="66A48D11"/>
    <w:multiLevelType w:val="hybridMultilevel"/>
    <w:lvl w:ilvl="0">
      <w:lvlJc w:val="left"/>
      <w:lvlText w:val="%1."/>
      <w:numFmt w:val="decimal"/>
      <w:start w:val="19"/>
    </w:lvl>
  </w:abstractNum>
  <w:abstractNum w:abstractNumId="207">
    <w:nsid w:val="56C28E34"/>
    <w:multiLevelType w:val="hybridMultilevel"/>
    <w:lvl w:ilvl="0">
      <w:lvlJc w:val="left"/>
      <w:lvlText w:val="%1."/>
      <w:numFmt w:val="decimal"/>
      <w:start w:val="20"/>
    </w:lvl>
  </w:abstractNum>
  <w:abstractNum w:abstractNumId="208">
    <w:nsid w:val="13916F2D"/>
    <w:multiLevelType w:val="hybridMultilevel"/>
    <w:lvl w:ilvl="0">
      <w:lvlJc w:val="left"/>
      <w:lvlText w:val="(%1)"/>
      <w:numFmt w:val="lowerRoman"/>
      <w:start w:val="1"/>
    </w:lvl>
  </w:abstractNum>
  <w:abstractNum w:abstractNumId="209">
    <w:nsid w:val="435D38D"/>
    <w:multiLevelType w:val="hybridMultilevel"/>
    <w:lvl w:ilvl="0">
      <w:lvlJc w:val="left"/>
      <w:lvlText w:val="(%1)"/>
      <w:numFmt w:val="lowerRoman"/>
      <w:start w:val="2"/>
    </w:lvl>
  </w:abstractNum>
  <w:abstractNum w:abstractNumId="210">
    <w:nsid w:val="822C0EF"/>
    <w:multiLevelType w:val="hybridMultilevel"/>
    <w:lvl w:ilvl="0">
      <w:lvlJc w:val="left"/>
      <w:lvlText w:val="(%1)"/>
      <w:numFmt w:val="lowerRoman"/>
      <w:start w:val="1"/>
    </w:lvl>
  </w:abstractNum>
  <w:abstractNum w:abstractNumId="211">
    <w:nsid w:val="57C5BB4F"/>
    <w:multiLevelType w:val="hybridMultilevel"/>
    <w:lvl w:ilvl="0">
      <w:lvlJc w:val="left"/>
      <w:lvlText w:val="(%1)"/>
      <w:numFmt w:val="lowerRoman"/>
      <w:start w:val="1"/>
    </w:lvl>
  </w:abstractNum>
  <w:abstractNum w:abstractNumId="212">
    <w:nsid w:val="1803D089"/>
    <w:multiLevelType w:val="hybridMultilevel"/>
    <w:lvl w:ilvl="0">
      <w:lvlJc w:val="left"/>
      <w:lvlText w:val="(%1)"/>
      <w:numFmt w:val="lowerRoman"/>
      <w:start w:val="1"/>
    </w:lvl>
  </w:abstractNum>
  <w:abstractNum w:abstractNumId="213">
    <w:nsid w:val="4F3A06D4"/>
    <w:multiLevelType w:val="hybridMultilevel"/>
    <w:lvl w:ilvl="0">
      <w:lvlJc w:val="left"/>
      <w:lvlText w:val="%1."/>
      <w:numFmt w:val="decimal"/>
      <w:start w:val="21"/>
    </w:lvl>
  </w:abstractNum>
  <w:abstractNum w:abstractNumId="214">
    <w:nsid w:val="59A377B6"/>
    <w:multiLevelType w:val="hybridMultilevel"/>
    <w:lvl w:ilvl="0">
      <w:lvlJc w:val="left"/>
      <w:lvlText w:val="%1."/>
      <w:numFmt w:val="decimal"/>
      <w:start w:val="22"/>
    </w:lvl>
  </w:abstractNum>
  <w:abstractNum w:abstractNumId="215">
    <w:nsid w:val="48AEB063"/>
    <w:multiLevelType w:val="hybridMultilevel"/>
    <w:lvl w:ilvl="0">
      <w:lvlJc w:val="left"/>
      <w:lvlText w:val="(%1)"/>
      <w:numFmt w:val="lowerRoman"/>
      <w:start w:val="1"/>
    </w:lvl>
  </w:abstractNum>
  <w:abstractNum w:abstractNumId="216">
    <w:nsid w:val="24E135"/>
    <w:multiLevelType w:val="hybridMultilevel"/>
    <w:lvl w:ilvl="0">
      <w:lvlJc w:val="left"/>
      <w:lvlText w:val="(%1)"/>
      <w:numFmt w:val="lowerRoman"/>
      <w:start w:val="1"/>
    </w:lvl>
  </w:abstractNum>
  <w:abstractNum w:abstractNumId="217">
    <w:nsid w:val="BB13C1"/>
    <w:multiLevelType w:val="hybridMultilevel"/>
    <w:lvl w:ilvl="0">
      <w:lvlJc w:val="left"/>
      <w:lvlText w:val="%1."/>
      <w:numFmt w:val="decimal"/>
      <w:start w:val="23"/>
    </w:lvl>
  </w:abstractNum>
  <w:abstractNum w:abstractNumId="218">
    <w:nsid w:val="271210C7"/>
    <w:multiLevelType w:val="hybridMultilevel"/>
    <w:lvl w:ilvl="0">
      <w:lvlJc w:val="left"/>
      <w:lvlText w:val="%1."/>
      <w:numFmt w:val="decimal"/>
      <w:start w:val="24"/>
    </w:lvl>
  </w:abstractNum>
  <w:abstractNum w:abstractNumId="219">
    <w:nsid w:val="217B22E4"/>
    <w:multiLevelType w:val="hybridMultilevel"/>
    <w:lvl w:ilvl="0">
      <w:lvlJc w:val="left"/>
      <w:lvlText w:val="%1."/>
      <w:numFmt w:val="decimal"/>
      <w:start w:val="25"/>
    </w:lvl>
  </w:abstractNum>
  <w:abstractNum w:abstractNumId="220">
    <w:nsid w:val="53E31A24"/>
    <w:multiLevelType w:val="hybridMultilevel"/>
    <w:lvl w:ilvl="0">
      <w:lvlJc w:val="left"/>
      <w:lvlText w:val="%1."/>
      <w:numFmt w:val="decimal"/>
      <w:start w:val="26"/>
    </w:lvl>
  </w:abstractNum>
  <w:abstractNum w:abstractNumId="221">
    <w:nsid w:val="6DC45E83"/>
    <w:multiLevelType w:val="hybridMultilevel"/>
    <w:lvl w:ilvl="0">
      <w:lvlJc w:val="left"/>
      <w:lvlText w:val="%1."/>
      <w:numFmt w:val="decimal"/>
      <w:start w:val="27"/>
    </w:lvl>
  </w:abstractNum>
  <w:abstractNum w:abstractNumId="222">
    <w:nsid w:val="17304A67"/>
    <w:multiLevelType w:val="hybridMultilevel"/>
    <w:lvl w:ilvl="0">
      <w:lvlJc w:val="left"/>
      <w:lvlText w:val="%1."/>
      <w:numFmt w:val="decimal"/>
      <w:start w:val="28"/>
    </w:lvl>
  </w:abstractNum>
  <w:abstractNum w:abstractNumId="223">
    <w:nsid w:val="2BB180D8"/>
    <w:multiLevelType w:val="hybridMultilevel"/>
    <w:lvl w:ilvl="0">
      <w:lvlJc w:val="left"/>
      <w:lvlText w:val="%1."/>
      <w:numFmt w:val="decimal"/>
      <w:start w:val="29"/>
    </w:lvl>
  </w:abstractNum>
  <w:abstractNum w:abstractNumId="224">
    <w:nsid w:val="556B69ED"/>
    <w:multiLevelType w:val="hybridMultilevel"/>
    <w:lvl w:ilvl="0">
      <w:lvlJc w:val="left"/>
      <w:lvlText w:val="%1."/>
      <w:numFmt w:val="decimal"/>
      <w:start w:val="30"/>
    </w:lvl>
  </w:abstractNum>
  <w:abstractNum w:abstractNumId="225">
    <w:nsid w:val="70836196"/>
    <w:multiLevelType w:val="hybridMultilevel"/>
    <w:lvl w:ilvl="0">
      <w:lvlJc w:val="left"/>
      <w:lvlText w:val="(%1)"/>
      <w:numFmt w:val="lowerRoman"/>
      <w:start w:val="1"/>
    </w:lvl>
  </w:abstractNum>
  <w:abstractNum w:abstractNumId="226">
    <w:nsid w:val="539F7F12"/>
    <w:multiLevelType w:val="hybridMultilevel"/>
    <w:lvl w:ilvl="0">
      <w:lvlJc w:val="left"/>
      <w:lvlText w:val="(%1)"/>
      <w:numFmt w:val="lowerRoman"/>
      <w:start w:val="1"/>
    </w:lvl>
  </w:abstractNum>
  <w:abstractNum w:abstractNumId="227">
    <w:nsid w:val="2817E7EC"/>
    <w:multiLevelType w:val="hybridMultilevel"/>
    <w:lvl w:ilvl="0">
      <w:lvlJc w:val="left"/>
      <w:lvlText w:val="(%1)"/>
      <w:numFmt w:val="lowerRoman"/>
      <w:start w:val="2"/>
    </w:lvl>
  </w:abstractNum>
  <w:abstractNum w:abstractNumId="228">
    <w:nsid w:val="71482545"/>
    <w:multiLevelType w:val="hybridMultilevel"/>
    <w:lvl w:ilvl="0">
      <w:lvlJc w:val="left"/>
      <w:lvlText w:val="(%1)"/>
      <w:numFmt w:val="lowerRoman"/>
      <w:start w:val="1"/>
    </w:lvl>
  </w:abstractNum>
  <w:abstractNum w:abstractNumId="229">
    <w:nsid w:val="17D78639"/>
    <w:multiLevelType w:val="hybridMultilevel"/>
    <w:lvl w:ilvl="0">
      <w:lvlJc w:val="left"/>
      <w:lvlText w:val="%1."/>
      <w:numFmt w:val="decimal"/>
      <w:start w:val="31"/>
    </w:lvl>
  </w:abstractNum>
  <w:abstractNum w:abstractNumId="230">
    <w:nsid w:val="141D2302"/>
    <w:multiLevelType w:val="hybridMultilevel"/>
    <w:lvl w:ilvl="0">
      <w:lvlJc w:val="left"/>
      <w:lvlText w:val="%1."/>
      <w:numFmt w:val="decimal"/>
      <w:start w:val="32"/>
    </w:lvl>
  </w:abstractNum>
  <w:abstractNum w:abstractNumId="231">
    <w:nsid w:val="407168D8"/>
    <w:multiLevelType w:val="hybridMultilevel"/>
    <w:lvl w:ilvl="0">
      <w:lvlJc w:val="left"/>
      <w:lvlText w:val="(%1)"/>
      <w:numFmt w:val="lowerLetter"/>
      <w:start w:val="9"/>
    </w:lvl>
    <w:lvl w:ilvl="1">
      <w:lvlJc w:val="left"/>
      <w:lvlText w:val="(%2)"/>
      <w:numFmt w:val="lowerLetter"/>
      <w:start w:val="1"/>
    </w:lvl>
  </w:abstractNum>
  <w:abstractNum w:abstractNumId="232">
    <w:nsid w:val="6A1B45E5"/>
    <w:multiLevelType w:val="hybridMultilevel"/>
    <w:lvl w:ilvl="0">
      <w:lvlJc w:val="left"/>
      <w:lvlText w:val="(%1)"/>
      <w:numFmt w:val="lowerRoman"/>
      <w:start w:val="2"/>
    </w:lvl>
  </w:abstractNum>
  <w:abstractNum w:abstractNumId="233">
    <w:nsid w:val="567BD50A"/>
    <w:multiLevelType w:val="hybridMultilevel"/>
    <w:lvl w:ilvl="0">
      <w:lvlJc w:val="left"/>
      <w:lvlText w:val="(%1)"/>
      <w:numFmt w:val="lowerRoman"/>
      <w:start w:val="4"/>
    </w:lvl>
  </w:abstractNum>
  <w:abstractNum w:abstractNumId="234">
    <w:nsid w:val="73BBD7F8"/>
    <w:multiLevelType w:val="hybridMultilevel"/>
    <w:lvl w:ilvl="0">
      <w:lvlJc w:val="left"/>
      <w:lvlText w:val="(%1)"/>
      <w:numFmt w:val="lowerRoman"/>
      <w:start w:val="4"/>
    </w:lvl>
  </w:abstractNum>
  <w:abstractNum w:abstractNumId="235">
    <w:nsid w:val="1876589D"/>
    <w:multiLevelType w:val="hybridMultilevel"/>
    <w:lvl w:ilvl="0">
      <w:lvlJc w:val="left"/>
      <w:lvlText w:val="%1."/>
      <w:numFmt w:val="decimal"/>
      <w:start w:val="33"/>
    </w:lvl>
  </w:abstractNum>
  <w:abstractNum w:abstractNumId="236">
    <w:nsid w:val="327FAC77"/>
    <w:multiLevelType w:val="hybridMultilevel"/>
    <w:lvl w:ilvl="0">
      <w:lvlJc w:val="left"/>
      <w:lvlText w:val="%1."/>
      <w:numFmt w:val="decimal"/>
      <w:start w:val="34"/>
    </w:lvl>
  </w:abstractNum>
  <w:abstractNum w:abstractNumId="237">
    <w:nsid w:val="5A606509"/>
    <w:multiLevelType w:val="hybridMultilevel"/>
    <w:lvl w:ilvl="0">
      <w:lvlJc w:val="left"/>
      <w:lvlText w:val="%1."/>
      <w:numFmt w:val="decimal"/>
      <w:start w:val="35"/>
    </w:lvl>
  </w:abstractNum>
  <w:abstractNum w:abstractNumId="238">
    <w:nsid w:val="6F38E6D1"/>
    <w:multiLevelType w:val="hybridMultilevel"/>
    <w:lvl w:ilvl="0">
      <w:lvlJc w:val="left"/>
      <w:lvlText w:val="(%1)"/>
      <w:numFmt w:val="lowerRoman"/>
      <w:start w:val="1"/>
    </w:lvl>
  </w:abstractNum>
  <w:abstractNum w:abstractNumId="239">
    <w:nsid w:val="46111BA5"/>
    <w:multiLevelType w:val="hybridMultilevel"/>
    <w:lvl w:ilvl="0">
      <w:lvlJc w:val="left"/>
      <w:lvlText w:val="(%1)"/>
      <w:numFmt w:val="lowerRoman"/>
      <w:start w:val="3"/>
    </w:lvl>
  </w:abstractNum>
  <w:abstractNum w:abstractNumId="240">
    <w:nsid w:val="5E963896"/>
    <w:multiLevelType w:val="hybridMultilevel"/>
    <w:lvl w:ilvl="0">
      <w:lvlJc w:val="left"/>
      <w:lvlText w:val="(%1)"/>
      <w:numFmt w:val="lowerRoman"/>
      <w:start w:val="1"/>
    </w:lvl>
  </w:abstractNum>
  <w:abstractNum w:abstractNumId="241">
    <w:nsid w:val="775BA7C1"/>
    <w:multiLevelType w:val="hybridMultilevel"/>
    <w:lvl w:ilvl="0">
      <w:lvlJc w:val="left"/>
      <w:lvlText w:val="(%1)"/>
      <w:numFmt w:val="lowerRoman"/>
      <w:start w:val="1"/>
    </w:lvl>
  </w:abstractNum>
  <w:abstractNum w:abstractNumId="242">
    <w:nsid w:val="1DD6D6F4"/>
    <w:multiLevelType w:val="hybridMultilevel"/>
    <w:lvl w:ilvl="0">
      <w:lvlJc w:val="left"/>
      <w:lvlText w:val="(%1)"/>
      <w:numFmt w:val="lowerRoman"/>
      <w:start w:val="5"/>
    </w:lvl>
  </w:abstractNum>
  <w:abstractNum w:abstractNumId="243">
    <w:nsid w:val="769A091F"/>
    <w:multiLevelType w:val="hybridMultilevel"/>
    <w:lvl w:ilvl="0">
      <w:lvlJc w:val="left"/>
      <w:lvlText w:val="%1."/>
      <w:numFmt w:val="decimal"/>
      <w:start w:val="36"/>
    </w:lvl>
  </w:abstractNum>
  <w:abstractNum w:abstractNumId="244">
    <w:nsid w:val="4695AE95"/>
    <w:multiLevelType w:val="hybridMultilevel"/>
    <w:lvl w:ilvl="0">
      <w:lvlJc w:val="left"/>
      <w:lvlText w:val="%1."/>
      <w:numFmt w:val="decimal"/>
      <w:start w:val="37"/>
    </w:lvl>
  </w:abstractNum>
  <w:abstractNum w:abstractNumId="245">
    <w:nsid w:val="777A4EAA"/>
    <w:multiLevelType w:val="hybridMultilevel"/>
    <w:lvl w:ilvl="0">
      <w:lvlJc w:val="left"/>
      <w:lvlText w:val="%1."/>
      <w:numFmt w:val="decimal"/>
      <w:start w:val="38"/>
    </w:lvl>
  </w:abstractNum>
  <w:abstractNum w:abstractNumId="246">
    <w:nsid w:val="3F48B982"/>
    <w:multiLevelType w:val="hybridMultilevel"/>
    <w:lvl w:ilvl="0">
      <w:lvlJc w:val="left"/>
      <w:lvlText w:val="[***]"/>
      <w:numFmt w:val="bullet"/>
      <w:start w:val="1"/>
    </w:lvl>
  </w:abstractNum>
  <w:abstractNum w:abstractNumId="247">
    <w:nsid w:val="46BA8FCA"/>
    <w:multiLevelType w:val="hybridMultilevel"/>
    <w:lvl w:ilvl="0">
      <w:lvlJc w:val="left"/>
      <w:lvlText w:val="(%1)"/>
      <w:numFmt w:val="lowerLetter"/>
      <w:start w:val="1"/>
    </w:lvl>
  </w:abstractNum>
  <w:abstractNum w:abstractNumId="248">
    <w:nsid w:val="7835626C"/>
    <w:multiLevelType w:val="hybridMultilevel"/>
    <w:lvl w:ilvl="0">
      <w:lvlJc w:val="left"/>
      <w:lvlText w:val="(%1)"/>
      <w:numFmt w:val="lowerLetter"/>
      <w:start w:val="5"/>
    </w:lvl>
  </w:abstractNum>
  <w:abstractNum w:abstractNumId="249">
    <w:nsid w:val="665ACA49"/>
    <w:multiLevelType w:val="hybridMultilevel"/>
    <w:lvl w:ilvl="0">
      <w:lvlJc w:val="left"/>
      <w:lvlText w:val="(%1)"/>
      <w:numFmt w:val="lowerLetter"/>
      <w:start w:val="7"/>
    </w:lvl>
  </w:abstractNum>
  <w:abstractNum w:abstractNumId="250">
    <w:nsid w:val="6835B2AE"/>
    <w:multiLevelType w:val="hybridMultilevel"/>
    <w:lvl w:ilvl="0">
      <w:lvlJc w:val="left"/>
      <w:lvlText w:val="(%1)"/>
      <w:numFmt w:val="lowerLetter"/>
      <w:start w:val="9"/>
    </w:lvl>
  </w:abstractNum>
  <w:abstractNum w:abstractNumId="251">
    <w:nsid w:val="4C187C90"/>
    <w:multiLevelType w:val="hybridMultilevel"/>
    <w:lvl w:ilvl="0">
      <w:lvlJc w:val="left"/>
      <w:lvlText w:val="(%1)"/>
      <w:numFmt w:val="lowerLetter"/>
      <w:start w:val="11"/>
    </w:lvl>
  </w:abstractNum>
  <w:abstractNum w:abstractNumId="252">
    <w:nsid w:val="541F28CD"/>
    <w:multiLevelType w:val="hybridMultilevel"/>
    <w:lvl w:ilvl="0">
      <w:lvlJc w:val="left"/>
      <w:lvlText w:val="(%1)"/>
      <w:numFmt w:val="lowerLetter"/>
      <w:start w:val="14"/>
    </w:lvl>
  </w:abstractNum>
  <w:abstractNum w:abstractNumId="253">
    <w:nsid w:val="7F65FD16"/>
    <w:multiLevelType w:val="hybridMultilevel"/>
    <w:lvl w:ilvl="0">
      <w:lvlJc w:val="left"/>
      <w:lvlText w:val="(%1)"/>
      <w:numFmt w:val="lowerRoman"/>
      <w:start w:val="1"/>
    </w:lvl>
  </w:abstractNum>
  <w:abstractNum w:abstractNumId="254">
    <w:nsid w:val="77C9FD68"/>
    <w:multiLevelType w:val="hybridMultilevel"/>
    <w:lvl w:ilvl="0">
      <w:lvlJc w:val="left"/>
      <w:lvlText w:val="%1."/>
      <w:numFmt w:val="decimal"/>
      <w:start w:val="39"/>
    </w:lvl>
  </w:abstractNum>
  <w:abstractNum w:abstractNumId="255">
    <w:nsid w:val="298A92BA"/>
    <w:multiLevelType w:val="hybridMultilevel"/>
    <w:lvl w:ilvl="0">
      <w:lvlJc w:val="left"/>
      <w:lvlText w:val="%1."/>
      <w:numFmt w:val="decimal"/>
      <w:start w:val="40"/>
    </w:lvl>
  </w:abstractNum>
  <w:abstractNum w:abstractNumId="256">
    <w:nsid w:val="6FE95EAC"/>
    <w:multiLevelType w:val="hybridMultilevel"/>
    <w:lvl w:ilvl="0">
      <w:lvlJc w:val="left"/>
      <w:lvlText w:val="%1."/>
      <w:numFmt w:val="decimal"/>
      <w:start w:val="41"/>
    </w:lvl>
  </w:abstractNum>
  <w:abstractNum w:abstractNumId="257">
    <w:nsid w:val="4B697C7A"/>
    <w:multiLevelType w:val="hybridMultilevel"/>
    <w:lvl w:ilvl="0">
      <w:lvlJc w:val="left"/>
      <w:lvlText w:val="%1."/>
      <w:numFmt w:val="decimal"/>
      <w:start w:val="42"/>
    </w:lvl>
  </w:abstractNum>
  <w:abstractNum w:abstractNumId="258">
    <w:nsid w:val="51A27AA6"/>
    <w:multiLevelType w:val="hybridMultilevel"/>
    <w:lvl w:ilvl="0">
      <w:lvlJc w:val="left"/>
      <w:lvlText w:val="%1."/>
      <w:numFmt w:val="decimal"/>
      <w:start w:val="43"/>
    </w:lvl>
  </w:abstractNum>
  <w:abstractNum w:abstractNumId="259">
    <w:nsid w:val="613183F2"/>
    <w:multiLevelType w:val="hybridMultilevel"/>
    <w:lvl w:ilvl="0">
      <w:lvlJc w:val="left"/>
      <w:lvlText w:val="%1."/>
      <w:numFmt w:val="decimal"/>
      <w:start w:val="44"/>
    </w:lvl>
  </w:abstractNum>
  <w:abstractNum w:abstractNumId="260">
    <w:nsid w:val="634102B4"/>
    <w:multiLevelType w:val="hybridMultilevel"/>
    <w:lvl w:ilvl="0">
      <w:lvlJc w:val="left"/>
      <w:lvlText w:val="%1."/>
      <w:numFmt w:val="decimal"/>
      <w:start w:val="45"/>
    </w:lvl>
  </w:abstractNum>
  <w:abstractNum w:abstractNumId="261">
    <w:nsid w:val="65BF9DA8"/>
    <w:multiLevelType w:val="hybridMultilevel"/>
    <w:lvl w:ilvl="0">
      <w:lvlJc w:val="left"/>
      <w:lvlText w:val="%1."/>
      <w:numFmt w:val="decimal"/>
      <w:start w:val="46"/>
    </w:lvl>
  </w:abstractNum>
  <w:abstractNum w:abstractNumId="262">
    <w:nsid w:val="21A2ECCA"/>
    <w:multiLevelType w:val="hybridMultilevel"/>
    <w:lvl w:ilvl="0">
      <w:lvlJc w:val="left"/>
      <w:lvlText w:val="%1."/>
      <w:numFmt w:val="decimal"/>
      <w:start w:val="47"/>
    </w:lvl>
  </w:abstractNum>
  <w:abstractNum w:abstractNumId="263">
    <w:nsid w:val="4D5C4899"/>
    <w:multiLevelType w:val="hybridMultilevel"/>
    <w:lvl w:ilvl="0">
      <w:lvlJc w:val="left"/>
      <w:lvlText w:val="%1."/>
      <w:numFmt w:val="decimal"/>
      <w:start w:val="48"/>
    </w:lvl>
  </w:abstractNum>
  <w:abstractNum w:abstractNumId="264">
    <w:nsid w:val="3C3B72B2"/>
    <w:multiLevelType w:val="hybridMultilevel"/>
    <w:lvl w:ilvl="0">
      <w:lvlJc w:val="left"/>
      <w:lvlText w:val="%1."/>
      <w:numFmt w:val="decimal"/>
      <w:start w:val="49"/>
    </w:lvl>
  </w:abstractNum>
  <w:abstractNum w:abstractNumId="265">
    <w:nsid w:val="155EC4C2"/>
    <w:multiLevelType w:val="hybridMultilevel"/>
    <w:lvl w:ilvl="0">
      <w:lvlJc w:val="left"/>
      <w:lvlText w:val="%1."/>
      <w:numFmt w:val="decimal"/>
      <w:start w:val="50"/>
    </w:lvl>
  </w:abstractNum>
  <w:abstractNum w:abstractNumId="266">
    <w:nsid w:val="65D2A137"/>
    <w:multiLevelType w:val="hybridMultilevel"/>
    <w:lvl w:ilvl="0">
      <w:lvlJc w:val="left"/>
      <w:lvlText w:val="%1."/>
      <w:numFmt w:val="decimal"/>
      <w:start w:val="51"/>
    </w:lvl>
  </w:abstractNum>
  <w:abstractNum w:abstractNumId="267">
    <w:nsid w:val="6EBB1F2A"/>
    <w:multiLevelType w:val="hybridMultilevel"/>
    <w:lvl w:ilvl="0">
      <w:lvlJc w:val="left"/>
      <w:lvlText w:val="%1."/>
      <w:numFmt w:val="decimal"/>
      <w:start w:val="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2023-08-21T23:25:43Z</dcterms:created>
  <dcterms:modified xsi:type="dcterms:W3CDTF">2023-08-21T23:25:43Z</dcterms:modified>
</cp:coreProperties>
</file>